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2548"/>
        <w:gridCol w:w="7920"/>
      </w:tblGrid>
      <w:tr w:rsidR="00006DAD" w:rsidRPr="00384232" w14:paraId="326442A9" w14:textId="77777777" w:rsidTr="002A4615">
        <w:trPr>
          <w:trHeight w:val="972"/>
        </w:trPr>
        <w:tc>
          <w:tcPr>
            <w:tcW w:w="3410" w:type="dxa"/>
            <w:tcBorders>
              <w:top w:val="nil"/>
              <w:left w:val="nil"/>
              <w:bottom w:val="single" w:sz="36" w:space="0" w:color="auto"/>
              <w:right w:val="nil"/>
            </w:tcBorders>
            <w:hideMark/>
          </w:tcPr>
          <w:p w14:paraId="53F9DE24" w14:textId="77777777" w:rsidR="00006DAD" w:rsidRPr="00384232" w:rsidRDefault="00006DAD" w:rsidP="00384232">
            <w:pPr>
              <w:rPr>
                <w:rFonts w:ascii="Times New Roman" w:hAnsi="Times New Roman"/>
                <w:b/>
                <w:i/>
                <w:sz w:val="22"/>
                <w:szCs w:val="22"/>
                <w:lang w:eastAsia="zh-CN"/>
              </w:rPr>
            </w:pPr>
            <w:r w:rsidRPr="00384232">
              <w:rPr>
                <w:rFonts w:ascii="Times New Roman" w:hAnsi="Times New Roman"/>
                <w:noProof/>
                <w:sz w:val="22"/>
                <w:szCs w:val="22"/>
                <w:lang w:val="en-US" w:eastAsia="en-US"/>
              </w:rPr>
              <w:drawing>
                <wp:inline distT="0" distB="0" distL="0" distR="0" wp14:anchorId="0F3C6DCE" wp14:editId="1C4D3907">
                  <wp:extent cx="612000" cy="544496"/>
                  <wp:effectExtent l="0" t="0" r="0" b="8255"/>
                  <wp:docPr id="180278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44496"/>
                          </a:xfrm>
                          <a:prstGeom prst="rect">
                            <a:avLst/>
                          </a:prstGeom>
                          <a:noFill/>
                          <a:ln>
                            <a:noFill/>
                          </a:ln>
                        </pic:spPr>
                      </pic:pic>
                    </a:graphicData>
                  </a:graphic>
                </wp:inline>
              </w:drawing>
            </w:r>
            <w:r w:rsidRPr="00384232">
              <w:rPr>
                <w:rFonts w:ascii="Times New Roman" w:hAnsi="Times New Roman"/>
                <w:b/>
                <w:i/>
                <w:sz w:val="22"/>
                <w:szCs w:val="22"/>
                <w:lang w:val="en-US" w:eastAsia="zh-CN"/>
              </w:rPr>
              <w:t>BNJAR</w:t>
            </w:r>
          </w:p>
        </w:tc>
        <w:tc>
          <w:tcPr>
            <w:tcW w:w="7058" w:type="dxa"/>
            <w:tcBorders>
              <w:top w:val="nil"/>
              <w:left w:val="nil"/>
              <w:bottom w:val="single" w:sz="36" w:space="0" w:color="auto"/>
              <w:right w:val="nil"/>
            </w:tcBorders>
            <w:hideMark/>
          </w:tcPr>
          <w:p w14:paraId="33CBF434" w14:textId="77777777" w:rsidR="00006DAD" w:rsidRPr="00384232" w:rsidRDefault="00006DAD" w:rsidP="00384232">
            <w:pPr>
              <w:rPr>
                <w:rFonts w:ascii="Times New Roman" w:hAnsi="Times New Roman"/>
                <w:b/>
                <w:i/>
                <w:sz w:val="22"/>
                <w:szCs w:val="22"/>
                <w:lang w:eastAsia="zh-CN"/>
              </w:rPr>
            </w:pPr>
            <w:r w:rsidRPr="00384232">
              <w:rPr>
                <w:rFonts w:ascii="Times New Roman" w:hAnsi="Times New Roman"/>
                <w:noProof/>
                <w:sz w:val="22"/>
                <w:szCs w:val="22"/>
                <w:lang w:val="en-US" w:eastAsia="en-US"/>
              </w:rPr>
              <mc:AlternateContent>
                <mc:Choice Requires="wps">
                  <w:drawing>
                    <wp:inline distT="0" distB="0" distL="0" distR="0" wp14:anchorId="59917611" wp14:editId="20A5F78A">
                      <wp:extent cx="5027295" cy="821055"/>
                      <wp:effectExtent l="0" t="0" r="1905" b="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821055"/>
                              </a:xfrm>
                              <a:prstGeom prst="rect">
                                <a:avLst/>
                              </a:prstGeom>
                              <a:solidFill>
                                <a:schemeClr val="accent1">
                                  <a:lumMod val="60000"/>
                                  <a:lumOff val="40000"/>
                                </a:schemeClr>
                              </a:solidFill>
                              <a:ln>
                                <a:noFill/>
                              </a:ln>
                            </wps:spPr>
                            <wps:txb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622E655A" w:rsidR="00CE1E1D" w:rsidRPr="008E418E" w:rsidRDefault="00EB3C3F"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4</w:t>
                                  </w:r>
                                  <w:r w:rsidR="00CE1E1D" w:rsidRPr="008E418E">
                                    <w:rPr>
                                      <w:rStyle w:val="Emphasis"/>
                                      <w:rFonts w:ascii="Times New Roman" w:hAnsi="Times New Roman"/>
                                      <w:i w:val="0"/>
                                      <w:iCs w:val="0"/>
                                      <w:color w:val="000000"/>
                                      <w:sz w:val="24"/>
                                      <w:szCs w:val="24"/>
                                      <w:lang w:val="en-US" w:eastAsia="en-US" w:bidi="fa-IR"/>
                                    </w:rPr>
                                    <w:t>, Iss</w:t>
                                  </w:r>
                                  <w:r w:rsidR="00C9251E">
                                    <w:rPr>
                                      <w:rStyle w:val="Emphasis"/>
                                      <w:rFonts w:ascii="Times New Roman" w:hAnsi="Times New Roman"/>
                                      <w:i w:val="0"/>
                                      <w:iCs w:val="0"/>
                                      <w:color w:val="000000"/>
                                      <w:sz w:val="24"/>
                                      <w:szCs w:val="24"/>
                                      <w:lang w:val="en-US" w:eastAsia="en-US" w:bidi="fa-IR"/>
                                    </w:rPr>
                                    <w:t>ue</w:t>
                                  </w:r>
                                  <w:r>
                                    <w:rPr>
                                      <w:rStyle w:val="Emphasis"/>
                                      <w:rFonts w:ascii="Times New Roman" w:hAnsi="Times New Roman"/>
                                      <w:i w:val="0"/>
                                      <w:iCs w:val="0"/>
                                      <w:color w:val="000000"/>
                                      <w:sz w:val="24"/>
                                      <w:szCs w:val="24"/>
                                      <w:lang w:val="en-US" w:eastAsia="en-US" w:bidi="fa-IR"/>
                                    </w:rPr>
                                    <w:t>. 1, June, 2023</w:t>
                                  </w:r>
                                  <w:r w:rsidR="00931FA4">
                                    <w:rPr>
                                      <w:rStyle w:val="Emphasis"/>
                                      <w:rFonts w:ascii="Times New Roman" w:hAnsi="Times New Roman"/>
                                      <w:i w:val="0"/>
                                      <w:iCs w:val="0"/>
                                      <w:color w:val="000000"/>
                                      <w:sz w:val="24"/>
                                      <w:szCs w:val="24"/>
                                      <w:lang w:val="en-US" w:eastAsia="en-US" w:bidi="fa-IR"/>
                                    </w:rPr>
                                    <w:t>, pp. 1-10</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wps:txbx>
                            <wps:bodyPr rot="0" vert="horz" wrap="square" lIns="91440" tIns="45720" rIns="91440" bIns="45720" anchor="t" anchorCtr="0" upright="1">
                              <a:noAutofit/>
                            </wps:bodyPr>
                          </wps:wsp>
                        </a:graphicData>
                      </a:graphic>
                    </wp:inline>
                  </w:drawing>
                </mc:Choice>
                <mc:Fallback>
                  <w:pict>
                    <v:shapetype w14:anchorId="59917611" id="_x0000_t202" coordsize="21600,21600" o:spt="202" path="m,l,21600r21600,l21600,xe">
                      <v:stroke joinstyle="miter"/>
                      <v:path gradientshapeok="t" o:connecttype="rect"/>
                    </v:shapetype>
                    <v:shape id="文本框 7" o:spid="_x0000_s1026" type="#_x0000_t202" style="width:395.8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" fillcolor="#9cc2e5 [1940]" stroked="f">
                      <v:textbo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622E655A" w:rsidR="00CE1E1D" w:rsidRPr="008E418E" w:rsidRDefault="00EB3C3F"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4</w:t>
                            </w:r>
                            <w:r w:rsidR="00CE1E1D" w:rsidRPr="008E418E">
                              <w:rPr>
                                <w:rStyle w:val="Emphasis"/>
                                <w:rFonts w:ascii="Times New Roman" w:hAnsi="Times New Roman"/>
                                <w:i w:val="0"/>
                                <w:iCs w:val="0"/>
                                <w:color w:val="000000"/>
                                <w:sz w:val="24"/>
                                <w:szCs w:val="24"/>
                                <w:lang w:val="en-US" w:eastAsia="en-US" w:bidi="fa-IR"/>
                              </w:rPr>
                              <w:t>, Iss</w:t>
                            </w:r>
                            <w:r w:rsidR="00C9251E">
                              <w:rPr>
                                <w:rStyle w:val="Emphasis"/>
                                <w:rFonts w:ascii="Times New Roman" w:hAnsi="Times New Roman"/>
                                <w:i w:val="0"/>
                                <w:iCs w:val="0"/>
                                <w:color w:val="000000"/>
                                <w:sz w:val="24"/>
                                <w:szCs w:val="24"/>
                                <w:lang w:val="en-US" w:eastAsia="en-US" w:bidi="fa-IR"/>
                              </w:rPr>
                              <w:t>ue</w:t>
                            </w:r>
                            <w:r>
                              <w:rPr>
                                <w:rStyle w:val="Emphasis"/>
                                <w:rFonts w:ascii="Times New Roman" w:hAnsi="Times New Roman"/>
                                <w:i w:val="0"/>
                                <w:iCs w:val="0"/>
                                <w:color w:val="000000"/>
                                <w:sz w:val="24"/>
                                <w:szCs w:val="24"/>
                                <w:lang w:val="en-US" w:eastAsia="en-US" w:bidi="fa-IR"/>
                              </w:rPr>
                              <w:t>. 1, June, 2023</w:t>
                            </w:r>
                            <w:r w:rsidR="00931FA4">
                              <w:rPr>
                                <w:rStyle w:val="Emphasis"/>
                                <w:rFonts w:ascii="Times New Roman" w:hAnsi="Times New Roman"/>
                                <w:i w:val="0"/>
                                <w:iCs w:val="0"/>
                                <w:color w:val="000000"/>
                                <w:sz w:val="24"/>
                                <w:szCs w:val="24"/>
                                <w:lang w:val="en-US" w:eastAsia="en-US" w:bidi="fa-IR"/>
                              </w:rPr>
                              <w:t>, pp. 1-10</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v:textbox>
                      <w10:anchorlock/>
                    </v:shape>
                  </w:pict>
                </mc:Fallback>
              </mc:AlternateContent>
            </w:r>
          </w:p>
        </w:tc>
      </w:tr>
    </w:tbl>
    <w:p w14:paraId="4B5E2A15" w14:textId="77777777" w:rsidR="00006DAD" w:rsidRPr="00384232" w:rsidRDefault="00006DAD" w:rsidP="00384232">
      <w:pPr>
        <w:tabs>
          <w:tab w:val="left" w:pos="9500"/>
        </w:tabs>
        <w:rPr>
          <w:rFonts w:ascii="Times New Roman" w:hAnsi="Times New Roman"/>
          <w:b/>
          <w:i/>
          <w:sz w:val="22"/>
          <w:szCs w:val="22"/>
          <w:lang w:eastAsia="zh-CN"/>
        </w:rPr>
      </w:pPr>
      <w:r w:rsidRPr="00384232">
        <w:rPr>
          <w:rFonts w:ascii="Times New Roman" w:hAnsi="Times New Roman"/>
          <w:b/>
          <w:i/>
          <w:sz w:val="22"/>
          <w:szCs w:val="22"/>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7"/>
        <w:gridCol w:w="270"/>
        <w:gridCol w:w="5846"/>
        <w:gridCol w:w="727"/>
      </w:tblGrid>
      <w:tr w:rsidR="00006DAD" w:rsidRPr="00384232" w14:paraId="0172C78E" w14:textId="77777777" w:rsidTr="002A4615">
        <w:trPr>
          <w:trHeight w:val="253"/>
        </w:trPr>
        <w:tc>
          <w:tcPr>
            <w:tcW w:w="9713" w:type="dxa"/>
            <w:gridSpan w:val="3"/>
            <w:tcBorders>
              <w:bottom w:val="nil"/>
              <w:right w:val="nil"/>
            </w:tcBorders>
          </w:tcPr>
          <w:p w14:paraId="7681358D" w14:textId="358252BC" w:rsidR="00006DAD" w:rsidRPr="00384232" w:rsidRDefault="00742C01" w:rsidP="00384232">
            <w:pPr>
              <w:keepNext/>
              <w:ind w:left="432"/>
              <w:outlineLvl w:val="0"/>
              <w:rPr>
                <w:rFonts w:ascii="Times New Roman" w:eastAsia="Times New Roman" w:hAnsi="Times New Roman"/>
                <w:b/>
                <w:bCs/>
                <w:kern w:val="32"/>
                <w:sz w:val="24"/>
                <w:szCs w:val="24"/>
                <w:lang w:val="en-US" w:eastAsia="x-none"/>
              </w:rPr>
            </w:pPr>
            <w:bookmarkStart w:id="0" w:name="_Toc147304485"/>
            <w:r w:rsidRPr="00384232">
              <w:rPr>
                <w:rFonts w:ascii="Times New Roman" w:eastAsia="Times New Roman" w:hAnsi="Times New Roman"/>
                <w:b/>
                <w:bCs/>
                <w:kern w:val="32"/>
                <w:sz w:val="24"/>
                <w:szCs w:val="24"/>
                <w:lang w:val="x-none" w:eastAsia="x-none"/>
              </w:rPr>
              <w:t xml:space="preserve">Epidemiological study on incidence and major causes of pre-weaning kid morbidity and mortality of </w:t>
            </w:r>
            <w:proofErr w:type="spellStart"/>
            <w:r w:rsidRPr="00384232">
              <w:rPr>
                <w:rFonts w:ascii="Times New Roman" w:eastAsia="Times New Roman" w:hAnsi="Times New Roman"/>
                <w:b/>
                <w:bCs/>
                <w:kern w:val="32"/>
                <w:sz w:val="24"/>
                <w:szCs w:val="24"/>
                <w:lang w:val="x-none" w:eastAsia="x-none"/>
              </w:rPr>
              <w:t>Abergelle</w:t>
            </w:r>
            <w:proofErr w:type="spellEnd"/>
            <w:r w:rsidRPr="00384232">
              <w:rPr>
                <w:rFonts w:ascii="Times New Roman" w:eastAsia="Times New Roman" w:hAnsi="Times New Roman"/>
                <w:b/>
                <w:bCs/>
                <w:kern w:val="32"/>
                <w:sz w:val="24"/>
                <w:szCs w:val="24"/>
                <w:lang w:val="x-none" w:eastAsia="x-none"/>
              </w:rPr>
              <w:t xml:space="preserve"> goat</w:t>
            </w:r>
            <w:r w:rsidRPr="00384232">
              <w:rPr>
                <w:rFonts w:ascii="Times New Roman" w:eastAsia="Times New Roman" w:hAnsi="Times New Roman"/>
                <w:b/>
                <w:bCs/>
                <w:kern w:val="32"/>
                <w:sz w:val="24"/>
                <w:szCs w:val="24"/>
                <w:lang w:eastAsia="x-none"/>
              </w:rPr>
              <w:t>s</w:t>
            </w:r>
            <w:r w:rsidRPr="00384232">
              <w:rPr>
                <w:rFonts w:ascii="Times New Roman" w:eastAsia="Times New Roman" w:hAnsi="Times New Roman"/>
                <w:b/>
                <w:bCs/>
                <w:kern w:val="32"/>
                <w:sz w:val="24"/>
                <w:szCs w:val="24"/>
                <w:lang w:val="x-none" w:eastAsia="x-none"/>
              </w:rPr>
              <w:t xml:space="preserve"> in </w:t>
            </w:r>
            <w:proofErr w:type="spellStart"/>
            <w:r w:rsidRPr="00384232">
              <w:rPr>
                <w:rFonts w:ascii="Times New Roman" w:eastAsia="Times New Roman" w:hAnsi="Times New Roman"/>
                <w:b/>
                <w:bCs/>
                <w:kern w:val="32"/>
                <w:sz w:val="24"/>
                <w:szCs w:val="24"/>
                <w:lang w:val="x-none" w:eastAsia="x-none"/>
              </w:rPr>
              <w:t>Waghemira</w:t>
            </w:r>
            <w:proofErr w:type="spellEnd"/>
            <w:r w:rsidRPr="00384232">
              <w:rPr>
                <w:rFonts w:ascii="Times New Roman" w:eastAsia="Times New Roman" w:hAnsi="Times New Roman"/>
                <w:b/>
                <w:bCs/>
                <w:kern w:val="32"/>
                <w:sz w:val="24"/>
                <w:szCs w:val="24"/>
                <w:lang w:val="x-none" w:eastAsia="x-none"/>
              </w:rPr>
              <w:t xml:space="preserve"> zone, Amhara Region, Ethiopia</w:t>
            </w:r>
            <w:bookmarkEnd w:id="0"/>
          </w:p>
        </w:tc>
        <w:tc>
          <w:tcPr>
            <w:tcW w:w="727" w:type="dxa"/>
            <w:tcBorders>
              <w:left w:val="nil"/>
              <w:bottom w:val="nil"/>
            </w:tcBorders>
          </w:tcPr>
          <w:p w14:paraId="55F05ED4" w14:textId="77777777" w:rsidR="00006DAD" w:rsidRPr="00384232" w:rsidRDefault="00006DAD" w:rsidP="00384232">
            <w:pPr>
              <w:rPr>
                <w:rFonts w:ascii="Times New Roman" w:hAnsi="Times New Roman"/>
                <w:b/>
                <w:sz w:val="22"/>
                <w:szCs w:val="22"/>
                <w:lang w:val="en-US" w:eastAsia="zh-CN"/>
              </w:rPr>
            </w:pPr>
          </w:p>
        </w:tc>
      </w:tr>
      <w:tr w:rsidR="00B451BB" w:rsidRPr="00384232" w14:paraId="0CDE813C" w14:textId="77777777" w:rsidTr="002A4615">
        <w:trPr>
          <w:trHeight w:val="661"/>
        </w:trPr>
        <w:tc>
          <w:tcPr>
            <w:tcW w:w="10440" w:type="dxa"/>
            <w:gridSpan w:val="4"/>
            <w:tcBorders>
              <w:top w:val="nil"/>
              <w:bottom w:val="single" w:sz="4" w:space="0" w:color="auto"/>
            </w:tcBorders>
          </w:tcPr>
          <w:p w14:paraId="77B6DD5E" w14:textId="77777777" w:rsidR="00742C01" w:rsidRPr="00384232" w:rsidRDefault="00742C01" w:rsidP="00384232">
            <w:pPr>
              <w:widowControl w:val="0"/>
              <w:autoSpaceDE w:val="0"/>
              <w:autoSpaceDN w:val="0"/>
              <w:spacing w:before="240"/>
              <w:rPr>
                <w:rFonts w:ascii="Times New Roman" w:eastAsia="Times New Roman" w:hAnsi="Times New Roman"/>
                <w:i/>
                <w:iCs/>
                <w:sz w:val="24"/>
                <w:szCs w:val="24"/>
              </w:rPr>
            </w:pPr>
            <w:r w:rsidRPr="00384232">
              <w:rPr>
                <w:rFonts w:ascii="Times New Roman" w:eastAsia="Times New Roman" w:hAnsi="Times New Roman"/>
                <w:i/>
                <w:iCs/>
                <w:sz w:val="24"/>
                <w:szCs w:val="24"/>
              </w:rPr>
              <w:t>Ayalew Assefa</w:t>
            </w:r>
            <w:r w:rsidRPr="00384232">
              <w:rPr>
                <w:rFonts w:ascii="Times New Roman" w:eastAsia="Times New Roman" w:hAnsi="Times New Roman"/>
                <w:i/>
                <w:iCs/>
                <w:sz w:val="24"/>
                <w:szCs w:val="24"/>
                <w:vertAlign w:val="superscript"/>
              </w:rPr>
              <w:t>1*</w:t>
            </w:r>
            <w:r w:rsidRPr="00384232">
              <w:rPr>
                <w:rFonts w:ascii="Times New Roman" w:eastAsia="Times New Roman" w:hAnsi="Times New Roman"/>
                <w:i/>
                <w:iCs/>
                <w:sz w:val="24"/>
                <w:szCs w:val="24"/>
              </w:rPr>
              <w:t>, Adane Bahiru</w:t>
            </w:r>
            <w:r w:rsidRPr="00384232">
              <w:rPr>
                <w:rFonts w:ascii="Times New Roman" w:eastAsia="Times New Roman" w:hAnsi="Times New Roman"/>
                <w:i/>
                <w:iCs/>
                <w:sz w:val="24"/>
                <w:szCs w:val="24"/>
                <w:vertAlign w:val="superscript"/>
              </w:rPr>
              <w:t>2</w:t>
            </w:r>
            <w:r w:rsidRPr="00384232">
              <w:rPr>
                <w:rFonts w:ascii="Times New Roman" w:eastAsia="Times New Roman" w:hAnsi="Times New Roman"/>
                <w:i/>
                <w:iCs/>
                <w:sz w:val="24"/>
                <w:szCs w:val="24"/>
              </w:rPr>
              <w:t xml:space="preserve"> and Abebe Tibebu</w:t>
            </w:r>
            <w:r w:rsidRPr="00384232">
              <w:rPr>
                <w:rFonts w:ascii="Times New Roman" w:eastAsia="Times New Roman" w:hAnsi="Times New Roman"/>
                <w:i/>
                <w:iCs/>
                <w:sz w:val="24"/>
                <w:szCs w:val="24"/>
                <w:vertAlign w:val="superscript"/>
              </w:rPr>
              <w:t>2</w:t>
            </w:r>
          </w:p>
          <w:p w14:paraId="3D575742" w14:textId="77777777" w:rsidR="00742C01" w:rsidRPr="00384232" w:rsidRDefault="00742C01" w:rsidP="00384232">
            <w:pPr>
              <w:widowControl w:val="0"/>
              <w:autoSpaceDE w:val="0"/>
              <w:autoSpaceDN w:val="0"/>
              <w:rPr>
                <w:rFonts w:ascii="Times New Roman" w:eastAsia="Times New Roman" w:hAnsi="Times New Roman"/>
                <w:i/>
                <w:iCs/>
                <w:sz w:val="24"/>
                <w:szCs w:val="24"/>
              </w:rPr>
            </w:pPr>
            <w:r w:rsidRPr="00384232">
              <w:rPr>
                <w:rFonts w:ascii="Times New Roman" w:eastAsia="Times New Roman" w:hAnsi="Times New Roman"/>
                <w:i/>
                <w:iCs/>
                <w:sz w:val="24"/>
                <w:szCs w:val="24"/>
                <w:vertAlign w:val="superscript"/>
              </w:rPr>
              <w:t>1*</w:t>
            </w:r>
            <w:r w:rsidRPr="00384232">
              <w:rPr>
                <w:rFonts w:ascii="Times New Roman" w:eastAsia="Times New Roman" w:hAnsi="Times New Roman"/>
                <w:i/>
                <w:iCs/>
                <w:sz w:val="24"/>
                <w:szCs w:val="24"/>
              </w:rPr>
              <w:t>International Livestock Research Institute, Addis Ababa, Ethiopia</w:t>
            </w:r>
          </w:p>
          <w:p w14:paraId="5ABB5F68" w14:textId="77777777" w:rsidR="00742C01" w:rsidRPr="00384232" w:rsidRDefault="00742C01" w:rsidP="00384232">
            <w:pPr>
              <w:widowControl w:val="0"/>
              <w:autoSpaceDE w:val="0"/>
              <w:autoSpaceDN w:val="0"/>
              <w:rPr>
                <w:rFonts w:ascii="Times New Roman" w:eastAsia="Times New Roman" w:hAnsi="Times New Roman"/>
                <w:i/>
                <w:iCs/>
                <w:sz w:val="24"/>
                <w:szCs w:val="24"/>
              </w:rPr>
            </w:pPr>
            <w:r w:rsidRPr="00384232">
              <w:rPr>
                <w:rFonts w:ascii="Times New Roman" w:eastAsia="Times New Roman" w:hAnsi="Times New Roman"/>
                <w:i/>
                <w:iCs/>
                <w:sz w:val="24"/>
                <w:szCs w:val="24"/>
                <w:vertAlign w:val="superscript"/>
              </w:rPr>
              <w:t>2</w:t>
            </w:r>
            <w:r w:rsidRPr="00384232">
              <w:rPr>
                <w:rFonts w:ascii="Times New Roman" w:eastAsia="Times New Roman" w:hAnsi="Times New Roman"/>
                <w:i/>
                <w:iCs/>
                <w:sz w:val="24"/>
                <w:szCs w:val="24"/>
              </w:rPr>
              <w:t>Sekota Dryland Agricultural Research Center, Sekota, Ethiopia</w:t>
            </w:r>
          </w:p>
          <w:p w14:paraId="61481037" w14:textId="77777777" w:rsidR="00742C01" w:rsidRPr="00384232" w:rsidRDefault="00742C01" w:rsidP="00384232">
            <w:pPr>
              <w:widowControl w:val="0"/>
              <w:autoSpaceDE w:val="0"/>
              <w:autoSpaceDN w:val="0"/>
              <w:rPr>
                <w:rFonts w:ascii="Times New Roman" w:eastAsia="Times New Roman" w:hAnsi="Times New Roman"/>
                <w:i/>
                <w:iCs/>
                <w:sz w:val="24"/>
                <w:szCs w:val="24"/>
              </w:rPr>
            </w:pPr>
            <w:r w:rsidRPr="00384232">
              <w:rPr>
                <w:rFonts w:ascii="Times New Roman" w:eastAsia="Times New Roman" w:hAnsi="Times New Roman"/>
                <w:i/>
                <w:iCs/>
                <w:sz w:val="24"/>
                <w:szCs w:val="24"/>
              </w:rPr>
              <w:t xml:space="preserve">Corresponding author email: </w:t>
            </w:r>
            <w:hyperlink r:id="rId9" w:history="1">
              <w:r w:rsidRPr="00384232">
                <w:rPr>
                  <w:rFonts w:ascii="Times New Roman" w:eastAsia="Times New Roman" w:hAnsi="Times New Roman"/>
                  <w:i/>
                  <w:iCs/>
                  <w:sz w:val="24"/>
                  <w:szCs w:val="24"/>
                </w:rPr>
                <w:t>abetfek@gmail.com</w:t>
              </w:r>
            </w:hyperlink>
          </w:p>
          <w:p w14:paraId="33F659C4" w14:textId="47E3E72F" w:rsidR="00B451BB" w:rsidRPr="00384232" w:rsidRDefault="00B451BB" w:rsidP="00384232">
            <w:pPr>
              <w:contextualSpacing/>
              <w:rPr>
                <w:rFonts w:ascii="Times New Roman" w:hAnsi="Times New Roman"/>
                <w:sz w:val="22"/>
                <w:szCs w:val="22"/>
                <w:vertAlign w:val="superscript"/>
                <w:lang w:val="en-US" w:eastAsia="zh-CN"/>
              </w:rPr>
            </w:pPr>
          </w:p>
        </w:tc>
      </w:tr>
      <w:tr w:rsidR="00006DAD" w:rsidRPr="00384232" w14:paraId="58960724" w14:textId="77777777" w:rsidTr="002A4615">
        <w:trPr>
          <w:trHeight w:val="661"/>
        </w:trPr>
        <w:tc>
          <w:tcPr>
            <w:tcW w:w="10440" w:type="dxa"/>
            <w:gridSpan w:val="4"/>
            <w:tcBorders>
              <w:top w:val="nil"/>
              <w:bottom w:val="single" w:sz="4" w:space="0" w:color="auto"/>
            </w:tcBorders>
          </w:tcPr>
          <w:p w14:paraId="4F1083C8" w14:textId="77777777" w:rsidR="00006DAD" w:rsidRPr="00384232" w:rsidRDefault="00006DAD" w:rsidP="00384232">
            <w:pPr>
              <w:rPr>
                <w:rFonts w:ascii="Times New Roman" w:hAnsi="Times New Roman"/>
                <w:sz w:val="22"/>
                <w:szCs w:val="22"/>
                <w:vertAlign w:val="superscript"/>
                <w:lang w:val="en-US" w:eastAsia="zh-CN"/>
              </w:rPr>
            </w:pPr>
          </w:p>
          <w:p w14:paraId="479C7735" w14:textId="77777777" w:rsidR="00006DAD" w:rsidRPr="00384232" w:rsidRDefault="00006DAD" w:rsidP="00384232">
            <w:pPr>
              <w:rPr>
                <w:rFonts w:ascii="Times New Roman" w:hAnsi="Times New Roman"/>
                <w:sz w:val="22"/>
                <w:szCs w:val="22"/>
                <w:lang w:val="en-US" w:eastAsia="zh-CN"/>
              </w:rPr>
            </w:pPr>
            <w:r w:rsidRPr="00BA2CC7">
              <w:rPr>
                <w:rFonts w:ascii="Times New Roman" w:hAnsi="Times New Roman"/>
                <w:sz w:val="22"/>
                <w:szCs w:val="22"/>
                <w:lang w:val="en-US" w:eastAsia="zh-CN"/>
              </w:rPr>
              <w:t>Copyright: ©2024 The author(s). This article is published by BNJAR and is licensed under the CC BY 4.0 license (http://creativecommons.org/licenses/by/4.0/).</w:t>
            </w:r>
          </w:p>
        </w:tc>
      </w:tr>
      <w:tr w:rsidR="00006DAD" w:rsidRPr="00384232" w14:paraId="3D07A2C1" w14:textId="77777777" w:rsidTr="002A4615">
        <w:trPr>
          <w:trHeight w:val="152"/>
        </w:trPr>
        <w:tc>
          <w:tcPr>
            <w:tcW w:w="3597" w:type="dxa"/>
            <w:tcBorders>
              <w:left w:val="nil"/>
              <w:bottom w:val="single" w:sz="4" w:space="0" w:color="auto"/>
              <w:right w:val="nil"/>
            </w:tcBorders>
            <w:vAlign w:val="center"/>
          </w:tcPr>
          <w:p w14:paraId="31E0D830" w14:textId="19EC2C9A" w:rsidR="00006DAD" w:rsidRPr="00384232" w:rsidRDefault="00006DAD" w:rsidP="00384232">
            <w:pPr>
              <w:rPr>
                <w:rFonts w:ascii="Times New Roman" w:hAnsi="Times New Roman"/>
                <w:b/>
                <w:iCs/>
                <w:sz w:val="22"/>
                <w:szCs w:val="22"/>
                <w:lang w:eastAsia="zh-CN"/>
              </w:rPr>
            </w:pPr>
          </w:p>
        </w:tc>
        <w:tc>
          <w:tcPr>
            <w:tcW w:w="270" w:type="dxa"/>
            <w:tcBorders>
              <w:left w:val="nil"/>
              <w:bottom w:val="nil"/>
              <w:right w:val="nil"/>
            </w:tcBorders>
          </w:tcPr>
          <w:p w14:paraId="19D27CE9" w14:textId="77777777" w:rsidR="00006DAD" w:rsidRPr="00384232" w:rsidRDefault="00006DAD" w:rsidP="00384232">
            <w:pPr>
              <w:rPr>
                <w:rFonts w:ascii="Times New Roman" w:hAnsi="Times New Roman"/>
                <w:b/>
                <w:iCs/>
                <w:sz w:val="22"/>
                <w:szCs w:val="22"/>
                <w:lang w:eastAsia="zh-CN"/>
              </w:rPr>
            </w:pPr>
          </w:p>
        </w:tc>
        <w:tc>
          <w:tcPr>
            <w:tcW w:w="6573" w:type="dxa"/>
            <w:gridSpan w:val="2"/>
            <w:tcBorders>
              <w:left w:val="nil"/>
              <w:bottom w:val="single" w:sz="4" w:space="0" w:color="auto"/>
              <w:right w:val="nil"/>
            </w:tcBorders>
            <w:vAlign w:val="center"/>
          </w:tcPr>
          <w:p w14:paraId="3B0EB775" w14:textId="77777777" w:rsidR="00006DAD" w:rsidRPr="00384232" w:rsidRDefault="00006DAD" w:rsidP="00384232">
            <w:pPr>
              <w:rPr>
                <w:rFonts w:ascii="Times New Roman" w:hAnsi="Times New Roman"/>
                <w:b/>
                <w:iCs/>
                <w:sz w:val="22"/>
                <w:szCs w:val="22"/>
                <w:lang w:eastAsia="zh-CN"/>
              </w:rPr>
            </w:pPr>
          </w:p>
          <w:p w14:paraId="3EA0E1EA" w14:textId="77777777" w:rsidR="00006DAD" w:rsidRPr="00384232" w:rsidRDefault="00006DAD" w:rsidP="00384232">
            <w:pPr>
              <w:rPr>
                <w:rFonts w:ascii="Times New Roman" w:hAnsi="Times New Roman"/>
                <w:b/>
                <w:iCs/>
                <w:sz w:val="22"/>
                <w:szCs w:val="22"/>
                <w:lang w:eastAsia="zh-CN"/>
              </w:rPr>
            </w:pPr>
            <w:r w:rsidRPr="00384232">
              <w:rPr>
                <w:rFonts w:ascii="Times New Roman" w:hAnsi="Times New Roman"/>
                <w:b/>
                <w:iCs/>
                <w:sz w:val="22"/>
                <w:szCs w:val="22"/>
                <w:lang w:eastAsia="zh-CN"/>
              </w:rPr>
              <w:t>ABSTRACT</w:t>
            </w:r>
          </w:p>
        </w:tc>
      </w:tr>
      <w:tr w:rsidR="00006DAD" w:rsidRPr="00384232" w14:paraId="050370C5" w14:textId="77777777" w:rsidTr="009B663F">
        <w:trPr>
          <w:trHeight w:val="50"/>
        </w:trPr>
        <w:tc>
          <w:tcPr>
            <w:tcW w:w="3597" w:type="dxa"/>
            <w:tcBorders>
              <w:left w:val="nil"/>
              <w:bottom w:val="nil"/>
              <w:right w:val="nil"/>
            </w:tcBorders>
            <w:vAlign w:val="center"/>
          </w:tcPr>
          <w:p w14:paraId="68FB8A4C" w14:textId="77777777" w:rsidR="00006DAD" w:rsidRPr="00384232" w:rsidRDefault="00006DAD" w:rsidP="00384232">
            <w:pPr>
              <w:rPr>
                <w:rFonts w:ascii="Times New Roman" w:hAnsi="Times New Roman"/>
                <w:b/>
                <w:iCs/>
                <w:sz w:val="22"/>
                <w:szCs w:val="22"/>
                <w:lang w:eastAsia="zh-CN"/>
              </w:rPr>
            </w:pPr>
          </w:p>
        </w:tc>
        <w:tc>
          <w:tcPr>
            <w:tcW w:w="270" w:type="dxa"/>
            <w:tcBorders>
              <w:top w:val="nil"/>
              <w:left w:val="nil"/>
              <w:bottom w:val="nil"/>
              <w:right w:val="nil"/>
            </w:tcBorders>
          </w:tcPr>
          <w:p w14:paraId="14F56AB1" w14:textId="77777777" w:rsidR="00006DAD" w:rsidRPr="00384232" w:rsidRDefault="00006DAD" w:rsidP="00384232">
            <w:pPr>
              <w:rPr>
                <w:rFonts w:ascii="Times New Roman" w:hAnsi="Times New Roman"/>
                <w:b/>
                <w:iCs/>
                <w:sz w:val="22"/>
                <w:szCs w:val="22"/>
                <w:lang w:eastAsia="zh-CN"/>
              </w:rPr>
            </w:pPr>
          </w:p>
        </w:tc>
        <w:tc>
          <w:tcPr>
            <w:tcW w:w="6573" w:type="dxa"/>
            <w:gridSpan w:val="2"/>
            <w:tcBorders>
              <w:left w:val="nil"/>
              <w:bottom w:val="nil"/>
              <w:right w:val="nil"/>
            </w:tcBorders>
            <w:vAlign w:val="center"/>
          </w:tcPr>
          <w:p w14:paraId="260ABD0D" w14:textId="77777777" w:rsidR="00006DAD" w:rsidRPr="00384232" w:rsidRDefault="00006DAD" w:rsidP="00384232">
            <w:pPr>
              <w:rPr>
                <w:rFonts w:ascii="Times New Roman" w:hAnsi="Times New Roman"/>
                <w:b/>
                <w:iCs/>
                <w:sz w:val="22"/>
                <w:szCs w:val="22"/>
                <w:lang w:eastAsia="zh-CN"/>
              </w:rPr>
            </w:pPr>
          </w:p>
        </w:tc>
      </w:tr>
      <w:tr w:rsidR="009A6996" w:rsidRPr="00384232" w14:paraId="6F38BE60" w14:textId="77777777" w:rsidTr="002A4615">
        <w:trPr>
          <w:trHeight w:val="441"/>
        </w:trPr>
        <w:tc>
          <w:tcPr>
            <w:tcW w:w="3597" w:type="dxa"/>
            <w:tcBorders>
              <w:top w:val="nil"/>
              <w:right w:val="nil"/>
            </w:tcBorders>
          </w:tcPr>
          <w:p w14:paraId="12749FA6" w14:textId="3C7DCC7E" w:rsidR="005F5393" w:rsidRPr="00384232" w:rsidRDefault="0087756B" w:rsidP="00384232">
            <w:pPr>
              <w:rPr>
                <w:rFonts w:ascii="Times New Roman" w:hAnsi="Times New Roman"/>
                <w:b/>
                <w:iCs/>
                <w:sz w:val="22"/>
                <w:szCs w:val="22"/>
                <w:lang w:val="en-US" w:eastAsia="zh-CN"/>
              </w:rPr>
            </w:pPr>
            <w:r w:rsidRPr="00384232">
              <w:rPr>
                <w:rFonts w:ascii="Times New Roman" w:hAnsi="Times New Roman"/>
                <w:b/>
                <w:iCs/>
                <w:sz w:val="22"/>
                <w:szCs w:val="22"/>
                <w:lang w:val="en-US" w:eastAsia="zh-CN"/>
              </w:rPr>
              <w:t xml:space="preserve">Received: </w:t>
            </w:r>
            <w:r w:rsidRPr="00BA2CC7">
              <w:rPr>
                <w:rFonts w:ascii="Times New Roman" w:hAnsi="Times New Roman"/>
                <w:bCs/>
                <w:iCs/>
                <w:sz w:val="22"/>
                <w:szCs w:val="22"/>
                <w:lang w:val="en-US" w:eastAsia="zh-CN"/>
              </w:rPr>
              <w:t>February 17</w:t>
            </w:r>
            <w:r w:rsidR="005F5393" w:rsidRPr="00BA2CC7">
              <w:rPr>
                <w:rFonts w:ascii="Times New Roman" w:hAnsi="Times New Roman"/>
                <w:bCs/>
                <w:iCs/>
                <w:sz w:val="22"/>
                <w:szCs w:val="22"/>
                <w:lang w:val="en-US" w:eastAsia="zh-CN"/>
              </w:rPr>
              <w:t>, 2023</w:t>
            </w:r>
          </w:p>
          <w:p w14:paraId="1F1D59C8" w14:textId="1A73297C" w:rsidR="005F5393" w:rsidRPr="00384232" w:rsidRDefault="000E0D61" w:rsidP="00384232">
            <w:pPr>
              <w:rPr>
                <w:rFonts w:ascii="Times New Roman" w:hAnsi="Times New Roman"/>
                <w:iCs/>
                <w:sz w:val="22"/>
                <w:szCs w:val="22"/>
                <w:lang w:val="en-US" w:eastAsia="zh-CN"/>
              </w:rPr>
            </w:pPr>
            <w:r w:rsidRPr="00384232">
              <w:rPr>
                <w:rFonts w:ascii="Times New Roman" w:hAnsi="Times New Roman"/>
                <w:b/>
                <w:iCs/>
                <w:sz w:val="22"/>
                <w:szCs w:val="22"/>
                <w:lang w:val="en-US" w:eastAsia="zh-CN"/>
              </w:rPr>
              <w:t xml:space="preserve">Revised: </w:t>
            </w:r>
            <w:r w:rsidRPr="00BA2CC7">
              <w:rPr>
                <w:rFonts w:ascii="Times New Roman" w:hAnsi="Times New Roman"/>
                <w:bCs/>
                <w:iCs/>
                <w:sz w:val="22"/>
                <w:szCs w:val="22"/>
                <w:lang w:val="en-US" w:eastAsia="zh-CN"/>
              </w:rPr>
              <w:t>May 24</w:t>
            </w:r>
            <w:r w:rsidR="005F5393" w:rsidRPr="00BA2CC7">
              <w:rPr>
                <w:rFonts w:ascii="Times New Roman" w:hAnsi="Times New Roman"/>
                <w:bCs/>
                <w:iCs/>
                <w:sz w:val="22"/>
                <w:szCs w:val="22"/>
                <w:lang w:val="en-US" w:eastAsia="zh-CN"/>
              </w:rPr>
              <w:t>, 2023</w:t>
            </w:r>
          </w:p>
          <w:p w14:paraId="440A0328" w14:textId="5A35F9D4" w:rsidR="005F5393" w:rsidRPr="00384232" w:rsidRDefault="00A566C4" w:rsidP="00384232">
            <w:pPr>
              <w:rPr>
                <w:rFonts w:ascii="Times New Roman" w:hAnsi="Times New Roman"/>
                <w:b/>
                <w:iCs/>
                <w:sz w:val="22"/>
                <w:szCs w:val="22"/>
                <w:lang w:val="en-US" w:eastAsia="zh-CN"/>
              </w:rPr>
            </w:pPr>
            <w:r w:rsidRPr="00384232">
              <w:rPr>
                <w:rFonts w:ascii="Times New Roman" w:hAnsi="Times New Roman"/>
                <w:b/>
                <w:iCs/>
                <w:sz w:val="22"/>
                <w:szCs w:val="22"/>
                <w:lang w:val="en-US" w:eastAsia="zh-CN"/>
              </w:rPr>
              <w:t xml:space="preserve">Accepted: </w:t>
            </w:r>
            <w:r w:rsidRPr="00BA2CC7">
              <w:rPr>
                <w:rFonts w:ascii="Times New Roman" w:hAnsi="Times New Roman"/>
                <w:bCs/>
                <w:iCs/>
                <w:sz w:val="22"/>
                <w:szCs w:val="22"/>
                <w:lang w:val="en-US" w:eastAsia="zh-CN"/>
              </w:rPr>
              <w:t xml:space="preserve">June </w:t>
            </w:r>
            <w:r w:rsidR="00BA2CC7">
              <w:rPr>
                <w:rFonts w:ascii="Times New Roman" w:hAnsi="Times New Roman"/>
                <w:bCs/>
                <w:iCs/>
                <w:sz w:val="22"/>
                <w:szCs w:val="22"/>
                <w:lang w:val="en-US" w:eastAsia="zh-CN"/>
              </w:rPr>
              <w:t>1</w:t>
            </w:r>
            <w:r w:rsidRPr="00BA2CC7">
              <w:rPr>
                <w:rFonts w:ascii="Times New Roman" w:hAnsi="Times New Roman"/>
                <w:bCs/>
                <w:iCs/>
                <w:sz w:val="22"/>
                <w:szCs w:val="22"/>
                <w:lang w:val="en-US" w:eastAsia="zh-CN"/>
              </w:rPr>
              <w:t>6</w:t>
            </w:r>
            <w:r w:rsidR="005F5393" w:rsidRPr="00BA2CC7">
              <w:rPr>
                <w:rFonts w:ascii="Times New Roman" w:hAnsi="Times New Roman"/>
                <w:bCs/>
                <w:iCs/>
                <w:sz w:val="22"/>
                <w:szCs w:val="22"/>
                <w:lang w:val="en-US" w:eastAsia="zh-CN"/>
              </w:rPr>
              <w:t>, 2023</w:t>
            </w:r>
          </w:p>
          <w:p w14:paraId="6E414183" w14:textId="6ABA3294" w:rsidR="009A6996" w:rsidRPr="00384232" w:rsidRDefault="00844935" w:rsidP="00384232">
            <w:pPr>
              <w:rPr>
                <w:rFonts w:ascii="Times New Roman" w:hAnsi="Times New Roman"/>
                <w:iCs/>
                <w:sz w:val="22"/>
                <w:szCs w:val="22"/>
                <w:lang w:val="en-US" w:eastAsia="zh-CN"/>
              </w:rPr>
            </w:pPr>
            <w:r w:rsidRPr="00384232">
              <w:rPr>
                <w:rFonts w:ascii="Times New Roman" w:hAnsi="Times New Roman"/>
                <w:b/>
                <w:iCs/>
                <w:sz w:val="22"/>
                <w:szCs w:val="22"/>
                <w:lang w:val="en-US" w:eastAsia="zh-CN"/>
              </w:rPr>
              <w:t xml:space="preserve">Available online: </w:t>
            </w:r>
            <w:r w:rsidRPr="00BA2CC7">
              <w:rPr>
                <w:rFonts w:ascii="Times New Roman" w:hAnsi="Times New Roman"/>
                <w:bCs/>
                <w:iCs/>
                <w:sz w:val="22"/>
                <w:szCs w:val="22"/>
                <w:lang w:val="en-US" w:eastAsia="zh-CN"/>
              </w:rPr>
              <w:t xml:space="preserve">June </w:t>
            </w:r>
            <w:r w:rsidR="00BA2CC7" w:rsidRPr="00BA2CC7">
              <w:rPr>
                <w:rFonts w:ascii="Times New Roman" w:hAnsi="Times New Roman"/>
                <w:bCs/>
                <w:iCs/>
                <w:sz w:val="22"/>
                <w:szCs w:val="22"/>
                <w:lang w:val="en-US" w:eastAsia="zh-CN"/>
              </w:rPr>
              <w:t>2</w:t>
            </w:r>
            <w:r w:rsidRPr="00BA2CC7">
              <w:rPr>
                <w:rFonts w:ascii="Times New Roman" w:hAnsi="Times New Roman"/>
                <w:bCs/>
                <w:iCs/>
                <w:sz w:val="22"/>
                <w:szCs w:val="22"/>
                <w:lang w:val="en-US" w:eastAsia="zh-CN"/>
              </w:rPr>
              <w:t>8</w:t>
            </w:r>
            <w:r w:rsidR="005F5393" w:rsidRPr="00BA2CC7">
              <w:rPr>
                <w:rFonts w:ascii="Times New Roman" w:hAnsi="Times New Roman"/>
                <w:bCs/>
                <w:iCs/>
                <w:sz w:val="22"/>
                <w:szCs w:val="22"/>
                <w:lang w:val="en-US" w:eastAsia="zh-CN"/>
              </w:rPr>
              <w:t>, 2023</w:t>
            </w:r>
          </w:p>
        </w:tc>
        <w:tc>
          <w:tcPr>
            <w:tcW w:w="270" w:type="dxa"/>
            <w:tcBorders>
              <w:top w:val="nil"/>
              <w:left w:val="nil"/>
              <w:bottom w:val="nil"/>
              <w:right w:val="nil"/>
            </w:tcBorders>
          </w:tcPr>
          <w:p w14:paraId="587B3B32" w14:textId="77777777" w:rsidR="009A6996" w:rsidRPr="00384232" w:rsidRDefault="009A6996" w:rsidP="00384232">
            <w:pPr>
              <w:rPr>
                <w:rFonts w:ascii="Times New Roman" w:hAnsi="Times New Roman"/>
                <w:sz w:val="22"/>
                <w:szCs w:val="22"/>
                <w:lang w:val="en-US"/>
              </w:rPr>
            </w:pPr>
          </w:p>
        </w:tc>
        <w:tc>
          <w:tcPr>
            <w:tcW w:w="6573" w:type="dxa"/>
            <w:gridSpan w:val="2"/>
            <w:vMerge w:val="restart"/>
            <w:tcBorders>
              <w:top w:val="nil"/>
              <w:left w:val="nil"/>
            </w:tcBorders>
          </w:tcPr>
          <w:p w14:paraId="0A9AC9B4" w14:textId="78599DEC" w:rsidR="009A6996" w:rsidRPr="00384232" w:rsidRDefault="00742C01" w:rsidP="00384232">
            <w:pPr>
              <w:widowControl w:val="0"/>
              <w:autoSpaceDE w:val="0"/>
              <w:autoSpaceDN w:val="0"/>
              <w:rPr>
                <w:rFonts w:ascii="Times New Roman" w:eastAsia="Times New Roman" w:hAnsi="Times New Roman"/>
                <w:i/>
                <w:iCs/>
                <w:sz w:val="24"/>
                <w:szCs w:val="24"/>
              </w:rPr>
            </w:pPr>
            <w:r w:rsidRPr="00384232">
              <w:rPr>
                <w:rFonts w:ascii="Times New Roman" w:eastAsia="Times New Roman" w:hAnsi="Times New Roman"/>
                <w:i/>
                <w:iCs/>
                <w:sz w:val="24"/>
                <w:szCs w:val="24"/>
              </w:rPr>
              <w:t xml:space="preserve">Small ruminants especially goat is very important in the economy and nutrition, and has the potential for using it as a tool for poverty reduction in developing countries. To date, only a very limited number of studies have been conducted on the effect of environmental or flock management factors on morbidity and mortality of kids of goats. To understand the epidemiology of kid mortality, we developed a longitudinal follow-up of kids born in the study area for three years in goat improving model villages of Abergelle (Saziba community goat improvement village) and Sekota (Ayibra site of Sekota Dryland Agricultural Research Center goat multiplication farm) districts. The objectives of the study were to assess the overall incidence of diseases and risk factors and understand and characterize risk factors responsible for pre-weaning kid mortality of </w:t>
            </w:r>
            <w:r w:rsidRPr="00384232">
              <w:rPr>
                <w:rFonts w:ascii="Times New Roman" w:eastAsia="Times New Roman" w:hAnsi="Times New Roman"/>
                <w:bCs/>
                <w:i/>
                <w:iCs/>
                <w:sz w:val="24"/>
                <w:szCs w:val="24"/>
              </w:rPr>
              <w:t>Abergelle goats in Waghemira zone</w:t>
            </w:r>
            <w:r w:rsidRPr="00384232">
              <w:rPr>
                <w:rFonts w:ascii="Times New Roman" w:eastAsia="Times New Roman" w:hAnsi="Times New Roman"/>
                <w:i/>
                <w:iCs/>
                <w:sz w:val="24"/>
                <w:szCs w:val="24"/>
              </w:rPr>
              <w:t>. All newborn kids up to weaning age were followed from 2017-2019. Thus, about 1438 kids born in these villages were followed longitudinally in each site by assigning one enumerator to follow the newborn kids. Accordingly, from the total kids, 77.61% were weaned healthy while the rest 21.5% had one or more of diseases. Among diseases, ectoparasites infestations (41%), diarrheal cases (30%), PPR (15%), and physical injury (5%) were diseases frequently encountered. The mortality rates for the total number of kids born were 7.5 percent. It was also found that the risk of being diseased and died was significantly higher among kids who did not receive colostrum within 30 minutes (P&lt; 0.05) compared to those who did. Furthermore, the month of birth also played a role in disease occurrence, with higher incidences of diseases in certain months, such as in December, November, July and March than September, October and February. Additionally, the occurrence of kid mortality was more common in kids born to parities two, three, and five (P &lt; 0.05). The occurrence of mentioned diseases need attention as higher incidence was noted. Diseases symptoms like diarrhea needs further detailed etiologic identification studies.</w:t>
            </w:r>
          </w:p>
        </w:tc>
      </w:tr>
      <w:tr w:rsidR="009A6996" w:rsidRPr="00384232" w14:paraId="2BF69221" w14:textId="77777777" w:rsidTr="002A4615">
        <w:trPr>
          <w:trHeight w:val="1253"/>
        </w:trPr>
        <w:tc>
          <w:tcPr>
            <w:tcW w:w="3597" w:type="dxa"/>
            <w:tcBorders>
              <w:right w:val="nil"/>
            </w:tcBorders>
          </w:tcPr>
          <w:p w14:paraId="6EEC6DB8" w14:textId="77777777" w:rsidR="009A6996" w:rsidRPr="00384232" w:rsidRDefault="009A6996" w:rsidP="00384232">
            <w:pPr>
              <w:rPr>
                <w:rFonts w:ascii="Times New Roman" w:hAnsi="Times New Roman"/>
                <w:b/>
                <w:i/>
                <w:sz w:val="22"/>
                <w:szCs w:val="22"/>
                <w:lang w:val="en-US" w:eastAsia="zh-CN"/>
              </w:rPr>
            </w:pPr>
          </w:p>
          <w:p w14:paraId="4215107B" w14:textId="3E5E5250" w:rsidR="00742C01" w:rsidRPr="00384232" w:rsidRDefault="00BA2CC7" w:rsidP="00384232">
            <w:pPr>
              <w:widowControl w:val="0"/>
              <w:autoSpaceDE w:val="0"/>
              <w:autoSpaceDN w:val="0"/>
              <w:rPr>
                <w:rFonts w:ascii="Times New Roman" w:eastAsia="Times New Roman" w:hAnsi="Times New Roman"/>
                <w:i/>
                <w:iCs/>
                <w:sz w:val="24"/>
                <w:szCs w:val="24"/>
              </w:rPr>
            </w:pPr>
            <w:r>
              <w:rPr>
                <w:rFonts w:ascii="Times New Roman" w:eastAsia="Times New Roman" w:hAnsi="Times New Roman"/>
                <w:b/>
                <w:bCs/>
                <w:i/>
                <w:iCs/>
                <w:sz w:val="24"/>
                <w:szCs w:val="24"/>
              </w:rPr>
              <w:t>Keywords</w:t>
            </w:r>
            <w:r w:rsidR="00742C01" w:rsidRPr="00384232">
              <w:rPr>
                <w:rFonts w:ascii="Times New Roman" w:eastAsia="Times New Roman" w:hAnsi="Times New Roman"/>
                <w:b/>
                <w:bCs/>
                <w:i/>
                <w:iCs/>
                <w:sz w:val="24"/>
                <w:szCs w:val="24"/>
              </w:rPr>
              <w:t>:</w:t>
            </w:r>
            <w:r w:rsidR="00742C01" w:rsidRPr="00384232">
              <w:rPr>
                <w:rFonts w:ascii="Times New Roman" w:eastAsia="Times New Roman" w:hAnsi="Times New Roman"/>
                <w:i/>
                <w:iCs/>
                <w:sz w:val="24"/>
                <w:szCs w:val="24"/>
              </w:rPr>
              <w:t xml:space="preserve"> Abergelle goat, Epidemiological study, Incidence, Kid mortality, Pre weaning, Sekota </w:t>
            </w:r>
          </w:p>
          <w:p w14:paraId="760356BE" w14:textId="25D4CE00" w:rsidR="009A6996" w:rsidRPr="00384232" w:rsidRDefault="009A6996" w:rsidP="00384232">
            <w:pPr>
              <w:rPr>
                <w:rFonts w:ascii="Times New Roman" w:hAnsi="Times New Roman"/>
                <w:b/>
                <w:i/>
                <w:sz w:val="22"/>
                <w:szCs w:val="22"/>
                <w:lang w:val="en-US" w:eastAsia="zh-CN"/>
              </w:rPr>
            </w:pPr>
          </w:p>
        </w:tc>
        <w:tc>
          <w:tcPr>
            <w:tcW w:w="270" w:type="dxa"/>
            <w:tcBorders>
              <w:top w:val="nil"/>
              <w:left w:val="nil"/>
              <w:bottom w:val="nil"/>
              <w:right w:val="nil"/>
            </w:tcBorders>
          </w:tcPr>
          <w:p w14:paraId="79239F65" w14:textId="77777777" w:rsidR="009A6996" w:rsidRPr="00384232" w:rsidRDefault="009A6996" w:rsidP="00384232">
            <w:pPr>
              <w:rPr>
                <w:rFonts w:ascii="Times New Roman" w:hAnsi="Times New Roman"/>
                <w:b/>
                <w:i/>
                <w:sz w:val="22"/>
                <w:szCs w:val="22"/>
                <w:lang w:val="en-US" w:eastAsia="zh-CN"/>
              </w:rPr>
            </w:pPr>
          </w:p>
        </w:tc>
        <w:tc>
          <w:tcPr>
            <w:tcW w:w="6573" w:type="dxa"/>
            <w:gridSpan w:val="2"/>
            <w:vMerge/>
            <w:tcBorders>
              <w:left w:val="nil"/>
            </w:tcBorders>
          </w:tcPr>
          <w:p w14:paraId="66A6E6F1" w14:textId="77777777" w:rsidR="009A6996" w:rsidRPr="00384232" w:rsidRDefault="009A6996" w:rsidP="00384232">
            <w:pPr>
              <w:rPr>
                <w:rFonts w:ascii="Times New Roman" w:hAnsi="Times New Roman"/>
                <w:b/>
                <w:i/>
                <w:sz w:val="22"/>
                <w:szCs w:val="22"/>
                <w:lang w:val="en-US" w:eastAsia="zh-CN"/>
              </w:rPr>
            </w:pPr>
          </w:p>
        </w:tc>
      </w:tr>
    </w:tbl>
    <w:p w14:paraId="4C29E15C" w14:textId="77777777" w:rsidR="000C2D13" w:rsidRPr="00384232" w:rsidRDefault="000C2D13" w:rsidP="00384232">
      <w:pPr>
        <w:tabs>
          <w:tab w:val="left" w:pos="720"/>
        </w:tabs>
        <w:spacing w:after="200" w:line="276" w:lineRule="auto"/>
        <w:textAlignment w:val="baseline"/>
        <w:rPr>
          <w:rFonts w:ascii="Times New Roman" w:hAnsi="Times New Roman"/>
          <w:b/>
          <w:sz w:val="22"/>
          <w:szCs w:val="22"/>
          <w:lang w:val="en-US"/>
        </w:rPr>
        <w:sectPr w:rsidR="000C2D13" w:rsidRPr="00384232" w:rsidSect="00384232">
          <w:footerReference w:type="default" r:id="rId10"/>
          <w:footerReference w:type="first" r:id="rId11"/>
          <w:type w:val="continuous"/>
          <w:pgSz w:w="11907" w:h="16839" w:code="9"/>
          <w:pgMar w:top="630" w:right="719" w:bottom="1138" w:left="720" w:header="737" w:footer="737" w:gutter="0"/>
          <w:pgNumType w:start="1"/>
          <w:cols w:space="720"/>
          <w:titlePg/>
          <w:docGrid w:linePitch="272"/>
        </w:sectPr>
      </w:pPr>
    </w:p>
    <w:p w14:paraId="72DC3B81" w14:textId="77777777" w:rsidR="00EA4A1F" w:rsidRPr="00384232" w:rsidRDefault="00EA4A1F" w:rsidP="00384232">
      <w:pPr>
        <w:tabs>
          <w:tab w:val="left" w:pos="720"/>
        </w:tabs>
        <w:spacing w:after="200" w:line="276" w:lineRule="auto"/>
        <w:textAlignment w:val="baseline"/>
        <w:rPr>
          <w:rFonts w:ascii="Times New Roman" w:hAnsi="Times New Roman"/>
          <w:b/>
          <w:sz w:val="22"/>
          <w:szCs w:val="22"/>
          <w:lang w:val="en-US"/>
        </w:rPr>
        <w:sectPr w:rsidR="00EA4A1F" w:rsidRPr="00384232" w:rsidSect="00384232">
          <w:type w:val="continuous"/>
          <w:pgSz w:w="11907" w:h="16839" w:code="9"/>
          <w:pgMar w:top="630" w:right="719" w:bottom="1138" w:left="720" w:header="737" w:footer="737" w:gutter="0"/>
          <w:cols w:space="720"/>
          <w:titlePg/>
          <w:docGrid w:linePitch="272"/>
        </w:sectPr>
      </w:pPr>
    </w:p>
    <w:p w14:paraId="7A9BFD99" w14:textId="41EB193A" w:rsidR="00742C01" w:rsidRPr="00384232" w:rsidRDefault="00742C01" w:rsidP="00384232">
      <w:pPr>
        <w:pStyle w:val="ListParagraph"/>
        <w:widowControl w:val="0"/>
        <w:numPr>
          <w:ilvl w:val="0"/>
          <w:numId w:val="33"/>
        </w:numPr>
        <w:autoSpaceDE w:val="0"/>
        <w:autoSpaceDN w:val="0"/>
        <w:spacing w:after="240"/>
        <w:ind w:firstLineChars="0"/>
        <w:rPr>
          <w:rFonts w:ascii="Times New Roman" w:eastAsia="Times New Roman" w:hAnsi="Times New Roman"/>
          <w:b/>
          <w:sz w:val="24"/>
          <w:szCs w:val="24"/>
        </w:rPr>
      </w:pPr>
      <w:r w:rsidRPr="00384232">
        <w:rPr>
          <w:rFonts w:ascii="Times New Roman" w:eastAsia="Times New Roman" w:hAnsi="Times New Roman"/>
          <w:b/>
          <w:sz w:val="24"/>
          <w:szCs w:val="24"/>
        </w:rPr>
        <w:lastRenderedPageBreak/>
        <w:t>INTRODUCTION</w:t>
      </w:r>
    </w:p>
    <w:p w14:paraId="3AC9737D"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space="720"/>
          <w:docGrid w:linePitch="360"/>
        </w:sectPr>
      </w:pPr>
    </w:p>
    <w:p w14:paraId="4D5CCD7E" w14:textId="35FCB571"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Small ruminants, especially goats, are very important as a tool for poverty reduction in developing countries. Improving the survival of lambs and kids is essential for the viability of a flock and for its long-term genetic improvement. High kid mortality during the first 12 weeks of life or the pre-weaning period causes considerable economic loss and greatly reduces the efficiency and profitability of goat production. Generally, higher kid mortality occurs at birth and from birth to weaning, while mortality is relatively low from weaning to breeding age in many production systems. In order to prevent mortality, risk factors that predispose kids to the development of disease must be identified, followed by adaptation and implementation of management practices that can be helpful for the reduction and elimination of risk factors involved in disease development in kids. In this regard, investigations are recommended to focus on the effect of multiple factors, including, breed, age of dam, parity, sex, type of birth, birth weight, behavior of the kid and dam (doe/kid interaction) after birth, environmental factors such as kidding season, farm management (the feeding of dams particularly during gestation, and good hygiene practices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10.4314/nvj.v31i1.68939","ISSN":"0331-3026","author":[{"dropping-particle":"","family":"Ahmed","given":"A","non-dropping-particle":"","parse-names":false,"suffix":""},{"dropping-particle":"","family":"Egwu","given":"GO","non-dropping-particle":"","parse-names":false,"suffix":""},{"dropping-particle":"","family":"Garba","given":"HS","non-dropping-particle":"","parse-names":false,"suffix":""},{"dropping-particle":"","family":"Magaji","given":"AA","non-dropping-particle":"","parse-names":false,"suffix":""}],"container-title":"Nigerian Veterinary Journal","id":"ITEM-1","issue":"1","issued":{"date-parts":[["2011"]]},"page":"56-65","title":"Studies on risk factors of mortality in lambs in Sokoto, Nigeria","type":"article-journal","volume":"31"},"uris":["http://www.mendeley.com/documents/?uuid=2a5da7da-246e-4558-b70c-6954ff71750d"]},{"id":"ITEM-2","itemData":{"ISSN":"01213784","abstract":"The influence of non-genetic factors on lamb survivability at various ages up to 360 days was studied under village management condition in Jimma, Ethiopia. The overall least squares means of lamb survival rate was 89.0 at 0-60, 81.5 at 0-120 and 50.0 % up to 360 days. The survival rate of lambs up to weaning (120 days) was 81.5 %. Season of birth consistently exerted a significant effect (p&lt;0.05)) on lamb survival. Lambs born during the post rain and dry periods showed a higher survival rate than lambs born during the wet season. Districts showed a significant effect (p&lt;0.05)) on survival rates of lambs. Lambs born in land scarce areas (Dedo) had a low survival rate than lambs born in Seka (land available area). Type of birth did not exert an influence (p&gt;0.05) on lamb survival. Sex had a significant effect (p&lt;0.05) on survivability of lambs at later stages and the females showed higher survivability rate than males. Mortality tended to decrease with an increase with birth weight and decreased as parity increased. The birth weight showed a significant effect (p&lt;0.05) on survival rate of lambs. The lambs with birth weight of 2 kg and above were showing higher survival rate. The lambs with 1.5 kg and lower birth weight showed high mortality rate. The study revealed that, adequate measures to be taken to curb mortality of lambs. The selection of heavier weight and larger litter at birth coupled with improved management could be a means to improve lamb productivity in the villages.","author":[{"dropping-particle":"","family":"Belay","given":"Berhanu","non-dropping-particle":"","parse-names":false,"suffix":""},{"dropping-particle":"","family":"Haile","given":"Aynalem","non-dropping-particle":"","parse-names":false,"suffix":""}],"container-title":"Livestock Research for Rural Development","id":"ITEM-2","issue":"4","issued":{"date-parts":[["2011"]]},"page":"1-10","title":"Survivability of lambs under village management condition: The case around Jimma, Ethiopia","type":"article-journal","volume":"23"},"uris":["http://www.mendeley.com/documents/?uuid=5734457f-cdec-4945-a584-ed7efcb5c03e"]},{"id":"ITEM-3","itemData":{"author":[{"dropping-particle":"","family":"Sharif","given":"Labib","non-dropping-particle":"","parse-names":false,"suffix":""},{"dropping-particle":"","family":"Al-ani","given":"Falah","non-dropping-particle":"","parse-names":false,"suffix":""}],"container-title":"Bulgarian Journal of Veterinary Medicine","id":"ITEM-3","issued":{"date-parts":[["2005"]]},"title":"Risk factors for lamb and kid mortality in sheep and goat farms in Jordan RISK FACTORS FOR LAMB AND KID MORTALITY IN","type":"article-journal","volume":"8"},"uris":["http://www.mendeley.com/documents/?uuid=c9e69197-31b2-4750-a9eb-20088d8b846a"]},{"id":"ITEM-4","itemData":{"DOI":"10.4172/2329-888x.1000134","abstract":"Background: Unlike the large potential of small ruminants in the country their productivity is low. There are various factors that contribute for low productivity. The objectives of this study were to assess sheep and goat production systems, and to identify challenges and opportunities for small ruminant production.","author":[{"dropping-particle":"","family":"Kefyalew","given":"Sisay Fikru","non-dropping-particle":"","parse-names":false,"suffix":""}],"container-title":"Advances in Dairy Research","id":"ITEM-4","issue":"02","issued":{"date-parts":[["2015"]]},"title":"Sheep and Goat Production Systems in Degehabur Zone, Eastern Ethiopia: Challenge and Opportunities","type":"article-journal","volume":"03"},"uris":["http://www.mendeley.com/documents/?uuid=bf14115a-6e12-4e95-a235-a04fc32e11f1"]}],"mendeley":{"formattedCitation":"(Ahmed et al., 2011; Belay &amp; Haile, 2011; Kefyalew, 2015; Sharif &amp; Al-ani, 2005)","manualFormatting":"(Ahmed, et al., 2011; Belay &amp; Haile, 2011; Kefyalew, 2015; Sharif &amp; Al-ani, 2015)","plainTextFormattedCitation":"(Ahmed et al., 2011; Belay &amp; Haile, 2011; Kefyalew, 2015; Sharif &amp; Al-ani, 2005)","previouslyFormattedCitation":"(Ahmed et al., 2011; Belay &amp; Haile, 2011; Kefyalew, 2015; Sharif &amp; Al-ani, 2005)"},"properties":{"noteIndex":0},"schema":"https://github.com/citation-style-language/schema/raw/master/csl-citation.json"}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(Ahmed et al 2011; Belay and Haile 2011; Kefyalew 2015; Sharif and Al-ani 2015)</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w:t>
      </w:r>
    </w:p>
    <w:p w14:paraId="7C443ECD"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612A2B1E"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To date, only a very limited number of studies have been conducted on the effect of environmental or flock management factors on morbidity and mortality of kids. The impact of predisposing factors on morbidity and mortality of kids varies from area to area in relation to varying conditions, such as the environment and the breeds raised. However, studies have showed that in Australia, the reported average mortality rates ranged from 5 to 23% with 86.6% deaths occurring within the first three days of life ref. In Ethiopia,19% of kids die before weaning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author":[{"dropping-particle":"","family":"Tsegaye","given":"Dereje","non-dropping-particle":"","parse-names":false,"suffix":""},{"dropping-particle":"","family":"Belay","given":"Berhanu","non-dropping-particle":"","parse-names":false,"suffix":""},{"dropping-particle":"","family":"Haile","given":"Aynalem","non-dropping-particle":"","parse-names":false,"suffix":""}],"id":"ITEM-1","issue":"3","issued":{"date-parts":[["2013"]]},"page":"665-672","title":"Prevalence of Major Goat Diseases and Mortality of Goat in Daro-Labu District of West Hararghe , Eastern","type":"article-journal","volume":"2"},"uris":["http://www.mendeley.com/documents/?uuid=3e1a9bec-cf98-4386-940f-68e70e613527"]}],"mendeley":{"formattedCitation":"(Tsegaye et al., 2013a)","manualFormatting":"(Tsegaye et al 2013)","plainTextFormattedCitation":"(Tsegaye et al., 2013a)","previouslyFormattedCitation":"(Tsegaye et al., 2013a)"},"properties":{"noteIndex":0},"schema":"https://github.com/citation-style-language/schema/raw/master/csl-citation.json"}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(Tsegaye </w:t>
      </w:r>
      <w:r w:rsidRPr="00384232">
        <w:rPr>
          <w:rFonts w:ascii="Times New Roman" w:eastAsia="Times New Roman" w:hAnsi="Times New Roman"/>
          <w:i/>
          <w:noProof/>
          <w:sz w:val="24"/>
          <w:szCs w:val="24"/>
        </w:rPr>
        <w:t xml:space="preserve">et al </w:t>
      </w:r>
      <w:r w:rsidRPr="00384232">
        <w:rPr>
          <w:rFonts w:ascii="Times New Roman" w:eastAsia="Times New Roman" w:hAnsi="Times New Roman"/>
          <w:noProof/>
          <w:sz w:val="24"/>
          <w:szCs w:val="24"/>
        </w:rPr>
        <w:t>2013)</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Similarly, a study conducted in Adami Tulu showed that 30.3% of kids died before they reach one month old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{"citationItems":[{"id":"ITEM-1","itemData":{"DOI":"10.5897/jvmah13.0211","abstract":"A longitudinal study was conducted, from October 2008 to April 2009, on 188 kids born from flocks of 50 randomly selected households in Aneno and Edokontola villages in Adamitulu Jedokombolcha district, mid rift valley, Ethiopia. The aim of the study was to estimate pre-weaning mortality, identify associated factors and establish possible causes of death in goat kids. Data collected were used to evaluate the effect of sex, birth weight, parity, type of birth and some management practices on pre-weaning mortality. All the factors, except sex of the kid, significantly (at least P0.05) influenced the mortality of kids. Generally mortality increased (P0.05) with parity. There were more deaths in kids born in triplets than in twins and single litters. Management practices such as keeping new born kids with their doe near homestead, and separation of sick animals had significantly reduced (P0.001) pre-weaning kid mortality. Mismothering was the most frequently suspected cause of mortality followed by pneumonia, enzootic ataxia, diarrhea, goat pox and predators. The study revealed the existence of very high kid mortality in the study area. Supplementation of multiple-bearing pregnant does and nursing does with multiple litters may be considered to reduce pre-weaning kid lose.\\n","author":[{"dropping-particle":"","family":"Alula","given":"Petros","non-dropping-particle":"","parse-names":false,"suffix":""},{"dropping-particle":"","family":"Kassaye","given":"Aragaw","non-dropping-particle":"","parse-names":false,"suffix":""},{"dropping-particle":"","family":"Berhanu","given":"Shilima","non-dropping-particle":"","parse-names":false,"suffix":""}],"container-title":"Journal of Veterinary Medicine and Animal Health","id":"ITEM-1","issue":"1","issued":{"date-parts":[["2014"]]},"page":"1-6","title":"Pre-weaning kid mortality in Adamitulu Jedokombolcha District, Mid Rift Valley, Ethiopia","type":"article-journal","volume":"6"},"uris":["http://www.mendeley.com/documents/?uuid=51c35589-c021-4304-a2c4-440449d3120b","http://www.mendeley.com/documents/?uuid=f013b697-7345-4083-9a70-50d602549f18"]}],"mendeley":{"formattedCitation":"(Alula et al., 2014)","manualFormatting":"(Alula et al., 2014)","plainTextFormattedCitation":"(Alula et al., 2014)","previouslyFormattedCitation":"(Alula et al., 2014)"},"properties":{"noteIndex":0},"schema":"https://github.com/citation-style-language/schema/raw/master/csl-citation.json"}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(Alula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2014)</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In our model, village of ICARDA (Sazba) the condition reaches up to 23% ref. Therefore, a longitudinal study of kids born from</w:t>
      </w:r>
      <w:r w:rsidRPr="00384232">
        <w:rPr>
          <w:rFonts w:ascii="Times New Roman" w:eastAsia="Times New Roman" w:hAnsi="Times New Roman"/>
          <w:b/>
          <w:bCs/>
          <w:sz w:val="24"/>
          <w:szCs w:val="24"/>
        </w:rPr>
        <w:t xml:space="preserve"> </w:t>
      </w:r>
      <w:r w:rsidRPr="00384232">
        <w:rPr>
          <w:rFonts w:ascii="Times New Roman" w:eastAsia="Times New Roman" w:hAnsi="Times New Roman"/>
          <w:bCs/>
          <w:sz w:val="24"/>
          <w:szCs w:val="24"/>
        </w:rPr>
        <w:t>Abergelle goats in Waghemira Zone</w:t>
      </w:r>
      <w:r w:rsidRPr="00384232">
        <w:rPr>
          <w:rFonts w:ascii="Times New Roman" w:eastAsia="Times New Roman" w:hAnsi="Times New Roman"/>
          <w:sz w:val="24"/>
          <w:szCs w:val="24"/>
        </w:rPr>
        <w:t xml:space="preserve"> were conducted for more than three years with the objectives of the assessing the overall incidence of diseases and risk factors and understand and characterize risk factors responsible for pre-weaning kid mortality. </w:t>
      </w:r>
    </w:p>
    <w:p w14:paraId="29C50646"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068E863F"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Therefore, a longitudinal study of kids born from</w:t>
      </w:r>
      <w:r w:rsidRPr="00384232">
        <w:rPr>
          <w:rFonts w:ascii="Times New Roman" w:eastAsia="Times New Roman" w:hAnsi="Times New Roman"/>
          <w:b/>
          <w:bCs/>
          <w:sz w:val="24"/>
          <w:szCs w:val="24"/>
        </w:rPr>
        <w:t xml:space="preserve"> </w:t>
      </w:r>
      <w:r w:rsidRPr="00384232">
        <w:rPr>
          <w:rFonts w:ascii="Times New Roman" w:eastAsia="Times New Roman" w:hAnsi="Times New Roman"/>
          <w:bCs/>
          <w:sz w:val="24"/>
          <w:szCs w:val="24"/>
        </w:rPr>
        <w:t>Abergelle goats in Waghemira zone</w:t>
      </w:r>
      <w:r w:rsidRPr="00384232">
        <w:rPr>
          <w:rFonts w:ascii="Times New Roman" w:eastAsia="Times New Roman" w:hAnsi="Times New Roman"/>
          <w:sz w:val="24"/>
          <w:szCs w:val="24"/>
        </w:rPr>
        <w:t xml:space="preserve"> were conducted for more than three years with the objectives of assessing the overall incidence of diseases and risk factors and understand and characterize risk factors responsible for pre-weaning kid mortality.</w:t>
      </w:r>
    </w:p>
    <w:p w14:paraId="24C0D80F"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152D81A2" w14:textId="24F68131" w:rsidR="00742C01" w:rsidRPr="00384232" w:rsidRDefault="00742C01" w:rsidP="00384232">
      <w:pPr>
        <w:pStyle w:val="ListParagraph"/>
        <w:widowControl w:val="0"/>
        <w:numPr>
          <w:ilvl w:val="0"/>
          <w:numId w:val="33"/>
        </w:numPr>
        <w:autoSpaceDE w:val="0"/>
        <w:autoSpaceDN w:val="0"/>
        <w:spacing w:after="240"/>
        <w:ind w:firstLineChars="0"/>
        <w:rPr>
          <w:rFonts w:ascii="Times New Roman" w:eastAsia="Times New Roman" w:hAnsi="Times New Roman"/>
          <w:b/>
          <w:sz w:val="24"/>
          <w:szCs w:val="24"/>
        </w:rPr>
      </w:pPr>
      <w:r w:rsidRPr="00384232">
        <w:rPr>
          <w:rFonts w:ascii="Times New Roman" w:eastAsia="Times New Roman" w:hAnsi="Times New Roman"/>
          <w:b/>
          <w:sz w:val="24"/>
          <w:szCs w:val="24"/>
        </w:rPr>
        <w:t xml:space="preserve">MATERIALS AND METHODS </w:t>
      </w:r>
    </w:p>
    <w:p w14:paraId="0DD2D096" w14:textId="0CB02556" w:rsidR="00742C01" w:rsidRPr="00384232" w:rsidRDefault="00742C01" w:rsidP="00384232">
      <w:pPr>
        <w:pStyle w:val="ListParagraph"/>
        <w:widowControl w:val="0"/>
        <w:numPr>
          <w:ilvl w:val="1"/>
          <w:numId w:val="33"/>
        </w:numPr>
        <w:autoSpaceDE w:val="0"/>
        <w:autoSpaceDN w:val="0"/>
        <w:ind w:firstLineChars="0"/>
        <w:rPr>
          <w:rFonts w:ascii="Times New Roman" w:eastAsia="Times New Roman" w:hAnsi="Times New Roman"/>
          <w:b/>
          <w:bCs/>
          <w:sz w:val="24"/>
          <w:szCs w:val="24"/>
        </w:rPr>
      </w:pPr>
      <w:r w:rsidRPr="00384232">
        <w:rPr>
          <w:rFonts w:ascii="Times New Roman" w:eastAsia="Times New Roman" w:hAnsi="Times New Roman"/>
          <w:b/>
          <w:bCs/>
          <w:sz w:val="24"/>
          <w:szCs w:val="24"/>
        </w:rPr>
        <w:t>Description of the Study Areas</w:t>
      </w:r>
    </w:p>
    <w:p w14:paraId="6B98CED3"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The study was conducted in two sites: Ayibra abergelle breeding station, sekota zuria district, and sazba community-based breeding program village, Abergelle district, Waghimra, Ethiopia. Waghimra zone is located between 12° 23' and 13° 16' N latitudes and 38° 44' and 39° 21' E longitudes, in the eastern part of the country. The maximum and minimum temperature of the area is 26.6</w:t>
      </w:r>
      <w:r w:rsidRPr="00384232">
        <w:rPr>
          <w:rFonts w:ascii="Times New Roman" w:eastAsia="Times New Roman" w:hAnsi="Times New Roman"/>
          <w:sz w:val="24"/>
          <w:szCs w:val="24"/>
          <w:vertAlign w:val="superscript"/>
        </w:rPr>
        <w:t>o</w:t>
      </w:r>
      <w:r w:rsidRPr="00384232">
        <w:rPr>
          <w:rFonts w:ascii="Times New Roman" w:eastAsia="Times New Roman" w:hAnsi="Times New Roman"/>
          <w:sz w:val="24"/>
          <w:szCs w:val="24"/>
        </w:rPr>
        <w:t>C and 31.6</w:t>
      </w:r>
      <w:r w:rsidRPr="00384232">
        <w:rPr>
          <w:rFonts w:ascii="Times New Roman" w:eastAsia="Times New Roman" w:hAnsi="Times New Roman"/>
          <w:sz w:val="24"/>
          <w:szCs w:val="24"/>
          <w:vertAlign w:val="superscript"/>
        </w:rPr>
        <w:t>o</w:t>
      </w:r>
      <w:r w:rsidRPr="00384232">
        <w:rPr>
          <w:rFonts w:ascii="Times New Roman" w:eastAsia="Times New Roman" w:hAnsi="Times New Roman"/>
          <w:sz w:val="24"/>
          <w:szCs w:val="24"/>
        </w:rPr>
        <w:t xml:space="preserve">C respectively with an altitude of ranging from 989 to 4043 m above sea level. The annual rainfall, which is erratic in distribution, varies between 350 and 650 mm. The area is characterized by more massive livestock production than agriculture due to recurrent draught in which local zebu cattle and Abergelle breed goats are the main livestock types reared. The production system was hence semi-intensive for the Ayibra main </w:t>
      </w:r>
      <w:r w:rsidRPr="00384232">
        <w:rPr>
          <w:rFonts w:ascii="Times New Roman" w:eastAsia="Times New Roman" w:hAnsi="Times New Roman"/>
          <w:sz w:val="24"/>
          <w:szCs w:val="24"/>
        </w:rPr>
        <w:lastRenderedPageBreak/>
        <w:t>breeding site and mixed crop production in Sazba, Abergelle District. The small ruminants in Sazba village were allowed to graze only throughout the year.  Meanwhile, the goats at Ayibra's main breeding site were let to graze all the daytime and supplemented with concentrates during the harsh season in the morning and afternoon. This grazing strategy with supplementary feeding allowed for optimal utilization of available resources and ensured that the goats' were able to meet their health and productivity needs, ensuring a steady supply of milk for their kids to thrive and grow.</w:t>
      </w:r>
    </w:p>
    <w:p w14:paraId="604367AA"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14ECDE12" w14:textId="77777777" w:rsidR="00742C01" w:rsidRPr="00384232" w:rsidRDefault="00742C01" w:rsidP="00384232">
      <w:pPr>
        <w:widowControl w:val="0"/>
        <w:autoSpaceDE w:val="0"/>
        <w:autoSpaceDN w:val="0"/>
        <w:rPr>
          <w:rFonts w:ascii="Times New Roman" w:eastAsia="Times New Roman" w:hAnsi="Times New Roman"/>
          <w:b/>
          <w:bCs/>
          <w:sz w:val="24"/>
          <w:szCs w:val="24"/>
        </w:rPr>
      </w:pPr>
      <w:r w:rsidRPr="00384232">
        <w:rPr>
          <w:rFonts w:ascii="Times New Roman" w:eastAsia="Times New Roman" w:hAnsi="Times New Roman"/>
          <w:b/>
          <w:bCs/>
          <w:sz w:val="24"/>
          <w:szCs w:val="24"/>
        </w:rPr>
        <w:t>Study Population and Study Design</w:t>
      </w:r>
    </w:p>
    <w:p w14:paraId="5E100EEF"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All newborn kids up to weaning age were our study subjects. About 1438 kids born in the two study sites were followed longitudinally for three years. At each site, one enumerator was recruited to follow the newborn kids up to weaning age. The occurrence of disease symptoms was recorded on prepared data checklists. Immediately after birth, kids were identified by the dam’s ear tag, and the following risk factors were recorded: body weight at birth, colostrum intake of the newborn, vaccination status of the doe, type of disease they diagnosed, season of birth, sex of the newborn, body condition score of the doe, parity of the doe and type of birth, and management of the herd.  By closely monitoring these variables, the farmers were able to identify any potential risks or deficiencies early on and take necessary measures to ensure the wellbeing of the kids. Besides, the occurrence of death was recorded, if any. The data collected was analyzed to determine any association between the risk factors and the occurrence of disease symptoms in the kids. This study aims to provide valuable insights into the factors that contribute to disease susceptibility in newborn goats and to inform future management and preventative measures.</w:t>
      </w:r>
    </w:p>
    <w:p w14:paraId="2919E215"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6A589BAA" w14:textId="77777777" w:rsidR="008E5300" w:rsidRPr="00384232" w:rsidRDefault="008E5300" w:rsidP="00384232">
      <w:pPr>
        <w:widowControl w:val="0"/>
        <w:autoSpaceDE w:val="0"/>
        <w:autoSpaceDN w:val="0"/>
        <w:rPr>
          <w:rFonts w:ascii="Times New Roman" w:eastAsia="Times New Roman" w:hAnsi="Times New Roman"/>
          <w:b/>
          <w:bCs/>
          <w:sz w:val="24"/>
          <w:szCs w:val="24"/>
        </w:rPr>
      </w:pPr>
    </w:p>
    <w:p w14:paraId="610311C0" w14:textId="77777777" w:rsidR="00742C01" w:rsidRPr="00384232" w:rsidRDefault="00742C01" w:rsidP="00384232">
      <w:pPr>
        <w:widowControl w:val="0"/>
        <w:autoSpaceDE w:val="0"/>
        <w:autoSpaceDN w:val="0"/>
        <w:rPr>
          <w:rFonts w:ascii="Times New Roman" w:eastAsia="Times New Roman" w:hAnsi="Times New Roman"/>
          <w:b/>
          <w:bCs/>
          <w:sz w:val="24"/>
          <w:szCs w:val="24"/>
        </w:rPr>
      </w:pPr>
      <w:r w:rsidRPr="00384232">
        <w:rPr>
          <w:rFonts w:ascii="Times New Roman" w:eastAsia="Times New Roman" w:hAnsi="Times New Roman"/>
          <w:b/>
          <w:bCs/>
          <w:sz w:val="24"/>
          <w:szCs w:val="24"/>
        </w:rPr>
        <w:t xml:space="preserve">Data Analysis </w:t>
      </w:r>
    </w:p>
    <w:p w14:paraId="4DCCCF96"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The occurrence of diseases and associated risk factors were coded and entered to Microsoft Excel. STATA version 16 software was used to process the data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ISBN":"9780840064639","author":[{"dropping-particle":"","family":"STATA","given":"","non-dropping-particle":"","parse-names":false,"suffix":""}],"id":"ITEM-1","issued":{"date-parts":[["2016"]]},"number":"14.1","publisher":"StataCorp","publisher-place":"College Station, Texas 77845 USA","title":"Statistics with STATA","type":"article"},"uris":["http://www.mendeley.com/documents/?uuid=4d3b7bef-b5a2-415b-92e6-e37b701778ed","http://www.mendeley.com/documents/?uuid=f5916155-ebac-412a-9892-1a08ba1ceb8f"]}],"mendeley":{"formattedCitation":"(STATA, 2016)","plainTextFormattedCitation":"(STATA, 2016)","previouslyFormattedCitation":"(STATA, 2016)"},"properties":{"noteIndex":0},"schema":"https://github.com/citation-style-language/schema/raw/master/csl-citation.json"}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(STATA 2016)</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Logistic regression was used to predict the association between disease occurrence and mortality with respective hypothesized risk factors. AUC (ROC curve) was done to evaluate the performance of the model to fit the data. Significance cut off p&lt;0.05 value at 95% confidence level was considered to determine the presence of statistical significance. If the p-value obtained from a statistical test is less than 0.05, it implies that the observed results are statistically significant at a 95% confidence level. This means that there is a 5% chance of obtaining such results by random chance alone. In addition, descriptive statistics and graphical presentation were used to summarize the characteristics of the study population, while chi-square test was conducted to assess the association between categorical variables. </w:t>
      </w:r>
    </w:p>
    <w:p w14:paraId="4544895B"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7156360E" w14:textId="5B74328C" w:rsidR="00742C01" w:rsidRPr="00384232" w:rsidRDefault="00742C01" w:rsidP="00384232">
      <w:pPr>
        <w:pStyle w:val="ListParagraph"/>
        <w:widowControl w:val="0"/>
        <w:numPr>
          <w:ilvl w:val="0"/>
          <w:numId w:val="33"/>
        </w:numPr>
        <w:autoSpaceDE w:val="0"/>
        <w:autoSpaceDN w:val="0"/>
        <w:spacing w:after="240"/>
        <w:ind w:firstLineChars="0"/>
        <w:rPr>
          <w:rFonts w:ascii="Times New Roman" w:eastAsia="Times New Roman" w:hAnsi="Times New Roman"/>
          <w:b/>
          <w:sz w:val="24"/>
          <w:szCs w:val="24"/>
        </w:rPr>
      </w:pPr>
      <w:r w:rsidRPr="00384232">
        <w:rPr>
          <w:rFonts w:ascii="Times New Roman" w:eastAsia="Times New Roman" w:hAnsi="Times New Roman"/>
          <w:b/>
          <w:sz w:val="24"/>
          <w:szCs w:val="24"/>
        </w:rPr>
        <w:t>RESULT AND DISCUSSION</w:t>
      </w:r>
    </w:p>
    <w:p w14:paraId="1364BAAA" w14:textId="1131DC02" w:rsidR="00742C01" w:rsidRPr="00384232" w:rsidRDefault="00742C01" w:rsidP="00384232">
      <w:pPr>
        <w:pStyle w:val="ListParagraph"/>
        <w:widowControl w:val="0"/>
        <w:numPr>
          <w:ilvl w:val="1"/>
          <w:numId w:val="33"/>
        </w:numPr>
        <w:autoSpaceDE w:val="0"/>
        <w:autoSpaceDN w:val="0"/>
        <w:ind w:firstLineChars="0"/>
        <w:rPr>
          <w:rFonts w:ascii="Times New Roman" w:eastAsia="Times New Roman" w:hAnsi="Times New Roman"/>
          <w:b/>
          <w:bCs/>
          <w:sz w:val="24"/>
          <w:szCs w:val="24"/>
        </w:rPr>
      </w:pPr>
      <w:r w:rsidRPr="00384232">
        <w:rPr>
          <w:rFonts w:ascii="Times New Roman" w:eastAsia="Times New Roman" w:hAnsi="Times New Roman"/>
          <w:b/>
          <w:bCs/>
          <w:sz w:val="24"/>
          <w:szCs w:val="24"/>
        </w:rPr>
        <w:t>Descriptive Summary of Diseases Observed</w:t>
      </w:r>
    </w:p>
    <w:p w14:paraId="1A59BDBD"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color w:val="252525"/>
          <w:sz w:val="24"/>
          <w:szCs w:val="24"/>
          <w:shd w:val="clear" w:color="auto" w:fill="FFFFFF"/>
        </w:rPr>
        <w:t xml:space="preserve">Over the past three years, longitudinal study followed 1438 kids born at the Ayibra and Sazba study locations. Out of the total, 77.61% were weaned healthy, while 21.5% had single or mixed disease symptoms. The results was supported by the  report of 28%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{"citationItems":[{"id":"ITEM-1","itemData":{"DOI":"10.5829/idosi.ajad.2014.3.3.9169","abstract":"A retrospective epidemiological study of sheep and goats diseases were undertaken at Sirinka agricultural research center, small ruminant breeding, evaluation and distribution site, from 2010 to 2013 to determine temporal distribution and associated risk factor of clinical cases. Of the total 393 clinical cases, external parasites, internal parasites, dermatitis, pneumonia, nervous disturbance and clinical mastitis were common cases with frequency of 21.4%, 17.3%, 16.5%, 11.5% and 8.7%, respectively. There is highly significance association of clinical cases with breed, age, sex, year and season (P 0.00). Prevalence of Clinical = cases indicated that caprine (54.4%) were more affected than ovine (45.6%). Female animals (65.6%) were more susceptible than males and age group between 90-180 days old (42.5%) as compared to other age groups. Highest and lowest number of cases were registered in short rainy season (38.9%) and dry season (32.3%) and during the years 2013 (36.6%) and 2012 (12.4 %), respectively. Highest frequencies of clinical cases were observed during the months of May, august and September. Generally, clinical cases of external parasites, internal parasites, dermatitis and pneumonia were the most important health problems in the breeding site and priority should be given for thus disease conditions.","author":[{"dropping-particle":"","family":"Asres","given":"Zegeye","non-dropping-particle":"","parse-names":false,"suffix":""},{"dropping-particle":"","family":"Nigus","given":"Belayineh","non-dropping-particle":"","parse-names":false,"suffix":""},{"dropping-particle":"","family":"Abiy","given":"Shinkute","non-dropping-particle":"","parse-names":false,"suffix":""},{"dropping-particle":"","family":"Mesfine","given":"Lakew","non-dropping-particle":"","parse-names":false,"suffix":""},{"dropping-particle":"","family":"Abebe","given":"Tesfaye","non-dropping-particle":"","parse-names":false,"suffix":""}],"container-title":"Academic Journal of Animal Diseases","id":"ITEM-1","issue":"3","issued":{"date-parts":[["2014"]]},"page":"39-44","title":"On-Station Retrospective Epidemiologic Study of Small Ruminant Disease in Sirinka Agricultural Research Center, Sheep and Goat Breeding, Evaluation and Distribution Site","type":"article-journal","volume":"3"},"uris":["http://www.mendeley.com/documents/?uuid=09f12a0c-abae-4de2-b284-4462a688f574"]}],"mendeley":{"formattedCitation":"(Asres et al., 2014)","plainTextFormattedCitation":"(Asres et al., 2014)","previouslyFormattedCitation":"(Asres et al., 2014)"},"properties":{"noteIndex":0},"schema":"https://github.com/citation-style-language/schema/raw/master/csl-citation.json"}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 xml:space="preserve">(Asres </w:t>
      </w:r>
      <w:r w:rsidRPr="00384232">
        <w:rPr>
          <w:rFonts w:ascii="Times New Roman" w:eastAsia="Times New Roman" w:hAnsi="Times New Roman"/>
          <w:i/>
          <w:noProof/>
          <w:color w:val="252525"/>
          <w:sz w:val="24"/>
          <w:szCs w:val="24"/>
          <w:shd w:val="clear" w:color="auto" w:fill="FFFFFF"/>
        </w:rPr>
        <w:t>et al</w:t>
      </w:r>
      <w:r w:rsidRPr="00384232">
        <w:rPr>
          <w:rFonts w:ascii="Times New Roman" w:eastAsia="Times New Roman" w:hAnsi="Times New Roman"/>
          <w:noProof/>
          <w:color w:val="252525"/>
          <w:sz w:val="24"/>
          <w:szCs w:val="24"/>
          <w:shd w:val="clear" w:color="auto" w:fill="FFFFFF"/>
        </w:rPr>
        <w:t xml:space="preserve"> 2014)</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but lower than </w:t>
      </w:r>
      <w:r w:rsidRPr="00384232">
        <w:rPr>
          <w:rFonts w:ascii="Times New Roman" w:eastAsia="Times New Roman" w:hAnsi="Times New Roman"/>
          <w:sz w:val="24"/>
          <w:szCs w:val="24"/>
        </w:rPr>
        <w:t>53.3%</w:t>
      </w:r>
      <w:r w:rsidRPr="00384232">
        <w:rPr>
          <w:rFonts w:ascii="Times New Roman" w:eastAsia="Times New Roman" w:hAnsi="Times New Roman"/>
          <w:color w:val="252525"/>
          <w:sz w:val="24"/>
          <w:szCs w:val="24"/>
          <w:shd w:val="clear" w:color="auto" w:fill="FFFFFF"/>
        </w:rPr>
        <w:t xml:space="preserve">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{"citationItems":[{"id":"ITEM-1","itemData":{"ISSN":"1818-4952","abstract":"A study was conducted on 60 newly introduced Boer goats breed at Adami Tulu Agricultural Research Center (ATARC) Nucleus site to identify the major health problems since their introduction to Ethiopia. Purposive sampling for clinical and laboratory examinations and secondary data collection were used. Out of 60 Boer goats, 26.0% of them were found to be affected by either one or more of the major health problems. The relative prevalence of the disease problems in Boer goats was found to be 53.3%. GIT parasites, keratoconjunctivitis, ticks, respiratory problems and local abscess with their respective prevalence of 35.0, 20.0, 15.0, 11.7 and 10.0% were found to be the major health problems of Boer goats at ATARC. The result of the secondary data analysis also showed high prevalence (42.2%) of major health problems in Boer goats being respiratory problems, gastrointestinal parasites, local abscess, diarrhea and orf as the major diseases affecting them. The occurrences of the problems were not significantly affected by age and sex of Boer goats. The high prevalence and diversity of health problems in Boer goats underline the importance of further studies at nucleus site and farm conditions in line with the identification of the different disease agents to design effective prevention and control strategies before the distribution of Boer goats to farmers.","author":[{"dropping-particle":"","family":"Hunduma","given":"Dinka","non-dropping-particle":"","parse-names":false,"suffix":""},{"dropping-particle":"","family":"Worku","given":"Tigre","non-dropping-particle":"","parse-names":false,"suffix":""},{"dropping-particle":"","family":"Moti","given":"Wagari","non-dropping-particle":"","parse-names":false,"suffix":""},{"dropping-particle":"","family":"Feyesa","given":"Regassa","non-dropping-particle":"","parse-names":false,"suffix":""}],"container-title":"World Applied Sciences Journal","id":"ITEM-1","issue":"7","issued":{"date-parts":[["2010"]]},"page":"803-807","title":"Preliminary Study on Major Health Problems of the Newly Introduced Boer Goat Breed in Ethiopia","type":"article-journal","volume":"11"},"uris":["http://www.mendeley.com/documents/?uuid=fbbbe1e5-672d-4444-b9eb-44e872a492b2"]}],"mendeley":{"formattedCitation":"(Hunduma et al., 2010)","plainTextFormattedCitation":"(Hunduma et al., 2010)","previouslyFormattedCitation":"(Hunduma et al., 2010)"},"properties":{"noteIndex":0},"schema":"https://github.com/citation-style-language/schema/raw/master/csl-citation.json"}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(Hunduma</w:t>
      </w:r>
      <w:r w:rsidRPr="00384232">
        <w:rPr>
          <w:rFonts w:ascii="Times New Roman" w:eastAsia="Times New Roman" w:hAnsi="Times New Roman"/>
          <w:i/>
          <w:noProof/>
          <w:color w:val="252525"/>
          <w:sz w:val="24"/>
          <w:szCs w:val="24"/>
          <w:shd w:val="clear" w:color="auto" w:fill="FFFFFF"/>
        </w:rPr>
        <w:t xml:space="preserve"> et al</w:t>
      </w:r>
      <w:r w:rsidRPr="00384232">
        <w:rPr>
          <w:rFonts w:ascii="Times New Roman" w:eastAsia="Times New Roman" w:hAnsi="Times New Roman"/>
          <w:noProof/>
          <w:color w:val="252525"/>
          <w:sz w:val="24"/>
          <w:szCs w:val="24"/>
          <w:shd w:val="clear" w:color="auto" w:fill="FFFFFF"/>
        </w:rPr>
        <w:t xml:space="preserve"> 2010)</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0.42 (index metrics)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author":[{"dropping-particle":"","family":"Tsegaye","given":"Dereje","non-dropping-particle":"","parse-names":false,"suffix":""},{"dropping-particle":"","family":"Belay","given":"Berhanu","non-dropping-particle":"","parse-names":false,"suffix":""},{"dropping-particle":"","family":"Haile","given":"Aynalem","non-dropping-particle":"","parse-names":false,"suffix":""}],"id":"ITEM-1","issue":"3","issued":{"date-parts":[["2013"]]},"page":"665-672","title":"Prevalence of Major Goat Diseases and Mortality of Goat in Daro-Labu District of West Hararghe , Eastern","type":"article-journal","volume":"2"},"uris":["http://www.mendeley.com/documents/?uuid=3e1a9bec-cf98-4386-940f-68e70e613527"]}],"mendeley":{"formattedCitation":"(Tsegaye et al., 2013a)","manualFormatting":"(Tsegaye et al., 2013)","plainTextFormattedCitation":"(Tsegaye et al., 2013a)","previouslyFormattedCitation":"(Tsegaye et al., 2013a)"},"properties":{"noteIndex":0},"schema":"https://github.com/citation-style-language/schema/raw/master/csl-citation.json"}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 xml:space="preserve">(Tsegaye </w:t>
      </w:r>
      <w:r w:rsidRPr="00384232">
        <w:rPr>
          <w:rFonts w:ascii="Times New Roman" w:eastAsia="Times New Roman" w:hAnsi="Times New Roman"/>
          <w:i/>
          <w:noProof/>
          <w:color w:val="252525"/>
          <w:sz w:val="24"/>
          <w:szCs w:val="24"/>
          <w:shd w:val="clear" w:color="auto" w:fill="FFFFFF"/>
        </w:rPr>
        <w:t>et al</w:t>
      </w:r>
      <w:r w:rsidRPr="00384232">
        <w:rPr>
          <w:rFonts w:ascii="Times New Roman" w:eastAsia="Times New Roman" w:hAnsi="Times New Roman"/>
          <w:noProof/>
          <w:color w:val="252525"/>
          <w:sz w:val="24"/>
          <w:szCs w:val="24"/>
          <w:shd w:val="clear" w:color="auto" w:fill="FFFFFF"/>
        </w:rPr>
        <w:t xml:space="preserve"> 2013)</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in Ethiopia, and 74.7% in Bangladesh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{"citationItems":[{"id":"ITEM-1","itemData":{"DOI":"10.3329/ujzru.v30i0.10702","ISSN":"10236104","abstract":"A study was carried out in Faridpur, Habiganj and Barisal to identify the prevalence of diseases, morbidity and mortality of Black Bengal goats (BBGs) under semi-intensive system reared by moderate and ultra poor households in Bangladesh during the period from February 2008 to July 2009. A total of 168 female goats and 9 bucks were recorded from two types of households of which 125 goats were infected (74.70%) by a number of diseases and lead to mortality (17.26%). Survival rates and mortality percentage of kids were 80.60 and 19.40, respectively but the highest mortality was in Habiganj (21.18%). Seasons had special influences on mortality of adult goats (35.81%) and kids (64.19%) where the highest mortality rates were 22.22% and 25.93%, respectively in rainy season. PPR had the highest mortality rates (37.93% in adults and 25.00% in kids) followed by pneumonia (24.14% and 21.15%, respectively). Predator invasion was the other remarkable cause for increased kids' mortality (23.08%). The study suggests that hygienic management practices, adequate supply of nutrients, and vaccination and deworming programmes in semi-intensive rearing system of BBGs at rural level will improve the urvival rates of adult goats and kids. © Rajshahi University Zoological Society.","author":[{"dropping-particle":"","family":"Kashem","given":"M. A.","non-dropping-particle":"","parse-names":false,"suffix":""},{"dropping-particle":"","family":"Hossain","given":"M. A.","non-dropping-particle":"","parse-names":false,"suffix":""},{"dropping-particle":"","family":"Ahmed","given":"S. S.U.","non-dropping-particle":"","parse-names":false,"suffix":""},{"dropping-particle":"","family":"Halim","given":"M. A.","non-dropping-particle":"","parse-names":false,"suffix":""}],"container-title":"University Journal of Zoology, Rajshahi University","id":"ITEM-1","issue":"January 2018","issued":{"date-parts":[["2011"]]},"page":"01-04","title":"Prevalence of diseases, morbidity and mortality of Black Bengal Goats under different management systems in Bangladesh","type":"article-journal","volume":"30"},"uris":["http://www.mendeley.com/documents/?uuid=716b779b-00d1-490b-87e4-41b94143ef7f"]}],"mendeley":{"formattedCitation":"(Kashem et al., 2011)","plainTextFormattedCitation":"(Kashem et al., 2011)","previouslyFormattedCitation":"(Kashem et al., 2011)"},"properties":{"noteIndex":0},"schema":"https://github.com/citation-style-language/schema/raw/master/csl-citation.json"}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(Kashem et al 2011)</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w:t>
      </w:r>
      <w:r w:rsidRPr="00384232">
        <w:rPr>
          <w:rFonts w:ascii="Times New Roman" w:eastAsia="Times New Roman" w:hAnsi="Times New Roman"/>
          <w:sz w:val="24"/>
          <w:szCs w:val="24"/>
        </w:rPr>
        <w:t xml:space="preserve"> </w:t>
      </w:r>
      <w:r w:rsidRPr="00384232">
        <w:rPr>
          <w:rFonts w:ascii="Times New Roman" w:eastAsia="Times New Roman" w:hAnsi="Times New Roman"/>
          <w:color w:val="252525"/>
          <w:sz w:val="24"/>
          <w:szCs w:val="24"/>
          <w:shd w:val="clear" w:color="auto" w:fill="FFFFFF"/>
        </w:rPr>
        <w:t xml:space="preserve">This finding was also higher than  the report of 13.2% </w:t>
      </w:r>
      <w:r w:rsidRPr="00384232">
        <w:rPr>
          <w:rFonts w:ascii="Times New Roman" w:eastAsia="Times New Roman" w:hAnsi="Times New Roman"/>
          <w:color w:val="252525"/>
          <w:sz w:val="24"/>
          <w:szCs w:val="24"/>
          <w:shd w:val="clear" w:color="auto" w:fill="FFFFFF"/>
          <w:vertAlign w:val="superscript"/>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{"citationItems":[{"id":"ITEM-1","itemData":{"DOI":"10.5829/idosi.gv.2017.168.177","abstract":"The user has requested enhancement of the downloaded file.","author":[{"dropping-particle":"","family":"Tifashe","given":"Merkine","non-dropping-particle":"","parse-names":false,"suffix":""},{"dropping-particle":"","family":"Hassan","given":"Ahamed","non-dropping-particle":"","parse-names":false,"suffix":""},{"dropping-particle":"","family":"Herago","given":"Tamirat","non-dropping-particle":"","parse-names":false,"suffix":""},{"dropping-particle":"","family":"Tesfamariam","given":"Gebregeorgis","non-dropping-particle":"","parse-names":false,"suffix":""}],"container-title":"Global Veterinaria","id":"ITEM-1","issue":"3","issued":{"date-parts":[["2017"]]},"page":"168-177","title":"Analysis of Morbidity and Mortality of Sheep and Goat in Wolaita Soddo Zuria District, Southern Ethiopia","type":"article-journal","volume":"18"},"uris":["http://www.mendeley.com/documents/?uuid=f4b42ef0-4c05-4a9e-a0d0-2c2a478d8b32"]}],"mendeley":{"formattedCitation":"(Tifashe et al., 2017)","plainTextFormattedCitation":"(Tifashe et al., 2017)","previouslyFormattedCitation":"(Tifashe et al., 2017)"},"properties":{"noteIndex":0},"schema":"https://github.com/citation-style-language/schema/raw/master/csl-citation.json"}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vertAlign w:val="superscript"/>
        </w:rPr>
        <w:fldChar w:fldCharType="separate"/>
      </w:r>
      <w:r w:rsidRPr="00384232">
        <w:rPr>
          <w:rFonts w:ascii="Times New Roman" w:eastAsia="Times New Roman" w:hAnsi="Times New Roman"/>
          <w:noProof/>
          <w:color w:val="252525"/>
          <w:sz w:val="24"/>
          <w:szCs w:val="24"/>
          <w:shd w:val="clear" w:color="auto" w:fill="FFFFFF"/>
        </w:rPr>
        <w:t xml:space="preserve">(Tifashe </w:t>
      </w:r>
      <w:r w:rsidRPr="00384232">
        <w:rPr>
          <w:rFonts w:ascii="Times New Roman" w:eastAsia="Times New Roman" w:hAnsi="Times New Roman"/>
          <w:i/>
          <w:noProof/>
          <w:color w:val="252525"/>
          <w:sz w:val="24"/>
          <w:szCs w:val="24"/>
          <w:shd w:val="clear" w:color="auto" w:fill="FFFFFF"/>
        </w:rPr>
        <w:t>et al</w:t>
      </w:r>
      <w:r w:rsidRPr="00384232">
        <w:rPr>
          <w:rFonts w:ascii="Times New Roman" w:eastAsia="Times New Roman" w:hAnsi="Times New Roman"/>
          <w:noProof/>
          <w:color w:val="252525"/>
          <w:sz w:val="24"/>
          <w:szCs w:val="24"/>
          <w:shd w:val="clear" w:color="auto" w:fill="FFFFFF"/>
        </w:rPr>
        <w:t xml:space="preserve"> 2017)</w:t>
      </w:r>
      <w:r w:rsidRPr="00384232">
        <w:rPr>
          <w:rFonts w:ascii="Times New Roman" w:eastAsia="Times New Roman" w:hAnsi="Times New Roman"/>
          <w:color w:val="252525"/>
          <w:sz w:val="24"/>
          <w:szCs w:val="24"/>
          <w:shd w:val="clear" w:color="auto" w:fill="FFFFFF"/>
          <w:vertAlign w:val="superscript"/>
        </w:rPr>
        <w:fldChar w:fldCharType="end"/>
      </w:r>
      <w:r w:rsidRPr="00384232">
        <w:rPr>
          <w:rFonts w:ascii="Times New Roman" w:eastAsia="Times New Roman" w:hAnsi="Times New Roman"/>
          <w:color w:val="252525"/>
          <w:sz w:val="24"/>
          <w:szCs w:val="24"/>
          <w:shd w:val="clear" w:color="auto" w:fill="FFFFFF"/>
        </w:rPr>
        <w:t xml:space="preserve"> in southern Ethiopia. These findings suggest that there is variability in the health outcomes of weaned individuals across different regions in Ethiopia and Bangladesh. </w:t>
      </w:r>
      <w:r w:rsidRPr="00384232">
        <w:rPr>
          <w:rFonts w:ascii="Times New Roman" w:eastAsia="Times New Roman" w:hAnsi="Times New Roman"/>
          <w:sz w:val="24"/>
          <w:szCs w:val="24"/>
        </w:rPr>
        <w:t xml:space="preserve">The discrepancies in percentages could be attributed to various factors such as differences in research </w:t>
      </w:r>
      <w:r w:rsidRPr="00384232">
        <w:rPr>
          <w:rFonts w:ascii="Times New Roman" w:eastAsia="Times New Roman" w:hAnsi="Times New Roman"/>
          <w:sz w:val="24"/>
          <w:szCs w:val="24"/>
        </w:rPr>
        <w:lastRenderedPageBreak/>
        <w:t>methodologies, sample sizes, and variations among the populations studied. Additionally, it indicated that the level of disease incidence is relatively lower compared to some other reports. This suggests that there may be underlying factors contributing to the lower rate of disease transmission, such as effective healthcare systems, vaccination programs, or public health initiatives.  </w:t>
      </w:r>
    </w:p>
    <w:p w14:paraId="7FD0B50D" w14:textId="77777777" w:rsidR="00742C01" w:rsidRPr="00384232" w:rsidRDefault="00742C01" w:rsidP="00384232">
      <w:pPr>
        <w:widowControl w:val="0"/>
        <w:autoSpaceDE w:val="0"/>
        <w:autoSpaceDN w:val="0"/>
        <w:rPr>
          <w:rFonts w:ascii="Times New Roman" w:eastAsia="Times New Roman" w:hAnsi="Times New Roman"/>
          <w:sz w:val="24"/>
          <w:szCs w:val="24"/>
          <w:shd w:val="clear" w:color="auto" w:fill="FFFFFF"/>
        </w:rPr>
      </w:pPr>
    </w:p>
    <w:p w14:paraId="04BEB92D" w14:textId="77777777" w:rsidR="00742C01" w:rsidRPr="00384232" w:rsidRDefault="00742C01" w:rsidP="00384232">
      <w:pPr>
        <w:widowControl w:val="0"/>
        <w:autoSpaceDE w:val="0"/>
        <w:autoSpaceDN w:val="0"/>
        <w:rPr>
          <w:rFonts w:ascii="Times New Roman" w:eastAsia="Times New Roman" w:hAnsi="Times New Roman"/>
          <w:sz w:val="24"/>
          <w:szCs w:val="24"/>
          <w:shd w:val="clear" w:color="auto" w:fill="FFFFFF"/>
        </w:rPr>
      </w:pPr>
      <w:r w:rsidRPr="00384232">
        <w:rPr>
          <w:rFonts w:ascii="Times New Roman" w:eastAsia="Times New Roman" w:hAnsi="Times New Roman"/>
          <w:sz w:val="24"/>
          <w:szCs w:val="24"/>
          <w:shd w:val="clear" w:color="auto" w:fill="FFFFFF"/>
        </w:rPr>
        <w:t xml:space="preserve">Ectoparasite infestations were the highest, followed by diarrhea cases (30%), PPR (15%), and physical injury (5%) (Figure 1). This indicated that ectoparasites, particularly mange mites and ticks, pose a significant threat to the health of small ruminants in the study areas. Previous reports on the incidence/prevalence of small ruminant diseases particularly in goats and kids in Ethiopia and abroad found contradicting. Some studies reported a higher prevalence of PPR in goats and kids (Donkin and Boyazoglu, 2004; Tsegaye </w:t>
      </w:r>
      <w:r w:rsidRPr="00384232">
        <w:rPr>
          <w:rFonts w:ascii="Times New Roman" w:eastAsia="Times New Roman" w:hAnsi="Times New Roman"/>
          <w:i/>
          <w:sz w:val="24"/>
          <w:szCs w:val="24"/>
          <w:shd w:val="clear" w:color="auto" w:fill="FFFFFF"/>
        </w:rPr>
        <w:t>et al</w:t>
      </w:r>
      <w:r w:rsidRPr="00384232">
        <w:rPr>
          <w:rFonts w:ascii="Times New Roman" w:eastAsia="Times New Roman" w:hAnsi="Times New Roman"/>
          <w:sz w:val="24"/>
          <w:szCs w:val="24"/>
          <w:shd w:val="clear" w:color="auto" w:fill="FFFFFF"/>
        </w:rPr>
        <w:t xml:space="preserve"> 2013).   </w:t>
      </w:r>
      <w:r w:rsidRPr="00384232">
        <w:rPr>
          <w:rFonts w:ascii="Times New Roman" w:eastAsia="Times New Roman" w:hAnsi="Times New Roman"/>
          <w:sz w:val="24"/>
          <w:szCs w:val="24"/>
        </w:rPr>
        <w:t xml:space="preserve">However, a counterexample to these was reported by </w:t>
      </w:r>
      <w:r w:rsidRPr="00384232">
        <w:rPr>
          <w:rFonts w:ascii="Times New Roman" w:eastAsia="Times New Roman" w:hAnsi="Times New Roman"/>
          <w:sz w:val="24"/>
          <w:szCs w:val="24"/>
          <w:shd w:val="clear" w:color="auto" w:fill="FFFFFF"/>
        </w:rPr>
        <w:t xml:space="preserve">(Hunduma </w:t>
      </w:r>
      <w:r w:rsidRPr="00384232">
        <w:rPr>
          <w:rFonts w:ascii="Times New Roman" w:eastAsia="Times New Roman" w:hAnsi="Times New Roman"/>
          <w:i/>
          <w:sz w:val="24"/>
          <w:szCs w:val="24"/>
          <w:shd w:val="clear" w:color="auto" w:fill="FFFFFF"/>
        </w:rPr>
        <w:t>et al</w:t>
      </w:r>
      <w:r w:rsidRPr="00384232">
        <w:rPr>
          <w:rFonts w:ascii="Times New Roman" w:eastAsia="Times New Roman" w:hAnsi="Times New Roman"/>
          <w:sz w:val="24"/>
          <w:szCs w:val="24"/>
          <w:shd w:val="clear" w:color="auto" w:fill="FFFFFF"/>
        </w:rPr>
        <w:t xml:space="preserve"> 2010; Asres </w:t>
      </w:r>
      <w:r w:rsidRPr="00384232">
        <w:rPr>
          <w:rFonts w:ascii="Times New Roman" w:eastAsia="Times New Roman" w:hAnsi="Times New Roman"/>
          <w:i/>
          <w:sz w:val="24"/>
          <w:szCs w:val="24"/>
          <w:shd w:val="clear" w:color="auto" w:fill="FFFFFF"/>
        </w:rPr>
        <w:t>et al</w:t>
      </w:r>
      <w:r w:rsidRPr="00384232">
        <w:rPr>
          <w:rFonts w:ascii="Times New Roman" w:eastAsia="Times New Roman" w:hAnsi="Times New Roman"/>
          <w:sz w:val="24"/>
          <w:szCs w:val="24"/>
          <w:shd w:val="clear" w:color="auto" w:fill="FFFFFF"/>
        </w:rPr>
        <w:t xml:space="preserve"> 2014; Bahiru and Assefa 2018) which found that the prevalence of ectoparasite infestation in goats and kids in Ethiopia was actually higher than PPR. These conflicting results could be due to variations in sampling methods, geographical locations, or the time of the study. Both diseases are highly contagious and can have a significant impact on the health and productivity of goat populations. Diarrheal cases were found the second most important causes of illness in kids. The disease was also reported as the prominent cause of illness in kids </w:t>
      </w:r>
      <w:r w:rsidRPr="00384232">
        <w:rPr>
          <w:rFonts w:ascii="Times New Roman" w:eastAsia="Times New Roman" w:hAnsi="Times New Roman"/>
          <w:sz w:val="24"/>
          <w:szCs w:val="24"/>
          <w:shd w:val="clear" w:color="auto" w:fill="FFFFFF"/>
        </w:rPr>
        <w:fldChar w:fldCharType="begin" w:fldLock="1"/>
      </w:r>
      <w:r w:rsidRPr="00384232">
        <w:rPr>
          <w:rFonts w:ascii="Times New Roman" w:eastAsia="Times New Roman" w:hAnsi="Times New Roman"/>
          <w:sz w:val="24"/>
          <w:szCs w:val="24"/>
          <w:shd w:val="clear" w:color="auto" w:fill="FFFFFF"/>
        </w:rPr>
        <w:instrText>ADDIN CSL_CITATION {"citationItems":[{"id":"ITEM-1","itemData":{"author":[{"dropping-particle":"","family":"Sharif","given":"Labib","non-dropping-particle":"","parse-names":false,"suffix":""},{"dropping-particle":"","family":"Al-ani","given":"Falah","non-dropping-particle":"","parse-names":false,"suffix":""}],"container-title":"BJVM","id":"ITEM-1","issue":"October","issued":{"date-parts":[["2015"]]},"page":"100-108","title":"Risk factors for lamb and kid mortality in sheep and goat farms in Jordan RISK FACTORS FOR LAMB AND KID MORTALITY IN","type":"article-journal","volume":"8(2)"},"uris":["http://www.mendeley.com/documents/?uuid=61676682-1290-43d4-8140-282802c519e2"]},{"id":"ITEM-2","itemData":{"DOI":"10.3329/ujzru.v30i0.10702","ISSN":"10236104","abstract":"A study was carried out in Faridpur, Habiganj and Barisal to identify the prevalence of diseases, morbidity and mortality of Black Bengal goats (BBGs) under semi-intensive system reared by moderate and ultra poor households in Bangladesh during the period from February 2008 to July 2009. A total of 168 female goats and 9 bucks were recorded from two types of households of which 125 goats were infected (74.70%) by a number of diseases and lead to mortality (17.26%). Survival rates and mortality percentage of kids were 80.60 and 19.40, respectively but the highest mortality was in Habiganj (21.18%). Seasons had special influences on mortality of adult goats (35.81%) and kids (64.19%) where the highest mortality rates were 22.22% and 25.93%, respectively in rainy season. PPR had the highest mortality rates (37.93% in adults and 25.00% in kids) followed by pneumonia (24.14% and 21.15%, respectively). Predator invasion was the other remarkable cause for increased kids' mortality (23.08%). The study suggests that hygienic management practices, adequate supply of nutrients, and vaccination and deworming programmes in semi-intensive rearing system of BBGs at rural level will improve the urvival rates of adult goats and kids. © Rajshahi University Zoological Society.","author":[{"dropping-particle":"","family":"Kashem","given":"M. A.","non-dropping-particle":"","parse-names":false,"suffix":""},{"dropping-particle":"","family":"Hossain","given":"M. A.","non-dropping-particle":"","parse-names":false,"suffix":""},{"dropping-particle":"","family":"Ahmed","given":"S. S.U.","non-dropping-particle":"","parse-names":false,"suffix":""},{"dropping-particle":"","family":"Halim","given":"M. A.","non-dropping-particle":"","parse-names":false,"suffix":""}],"container-title":"University Journal of Zoology, Rajshahi University","id":"ITEM-2","issue":"January 2018","issued":{"date-parts":[["2011"]]},"page":"01-04","title":"Prevalence of diseases, morbidity and mortality of Black Bengal Goats under different management systems in Bangladesh","type":"article-journal","volume":"30"},"uris":["http://www.mendeley.com/documents/?uuid=716b779b-00d1-490b-87e4-41b94143ef7f"]},{"id":"ITEM-3","itemData":{"DOI":"10.5897/jvmah13.0211","abstract":"A longitudinal study was conducted, from October 2008 to April 2009, on 188 kids born from flocks of 50 randomly selected households in Aneno and Edokontola villages in Adamitulu Jedokombolcha district, mid rift valley, Ethiopia. The aim of the study was to estimate pre-weaning mortality, identify associated factors and establish possible causes of death in goat kids. Data collected were used to evaluate the effect of sex, birth weight, parity, type of birth and some management practices on pre-weaning mortality. All the factors, except sex of the kid, significantly (at least P0.05) influenced the mortality of kids. Generally mortality increased (P0.05) with parity. There were more deaths in kids born in triplets than in twins and single litters. Management practices such as keeping new born kids with their doe near homestead, and separation of sick animals had significantly reduced (P0.001) pre-weaning kid mortality. Mismothering was the most frequently suspected cause of mortality followed by pneumonia, enzootic ataxia, diarrhea, goat pox and predators. The study revealed the existence of very high kid mortality in the study area. Supplementation of multiple-bearing pregnant does and nursing does with multiple litters may be considered to reduce pre-weaning kid lose.\\n","author":[{"dropping-particle":"","family":"Alula","given":"Petros","non-dropping-particle":"","parse-names":false,"suffix":""},{"dropping-particle":"","family":"Kassaye","given":"Aragaw","non-dropping-particle":"","parse-names":false,"suffix":""},{"dropping-particle":"","family":"Berhanu","given":"Shilima","non-dropping-particle":"","parse-names":false,"suffix":""}],"container-title":"Journal of Veterinary Medicine and Animal Health","id":"ITEM-3","issue":"1","issued":{"date-parts":[["2014"]]},"page":"1-6","title":"Pre-weaning kid mortality in Adamitulu Jedokombolcha District, Mid Rift Valley, Ethiopia","type":"article-journal","volume":"6"},"uris":["http://www.mendeley.com/documents/?uuid=f013b697-7345-4083-9a70-50d602549f18"]}],"mendeley":{"formattedCitation":"(Alula et al., 2014; Kashem et al., 2011; Sharif &amp; Al-ani, 2015)","manualFormatting":"(Kashem et al., 2011; Alula et al., 2014; Sharif &amp; Al-ani, 2015)","plainTextFormattedCitation":"(Alula et al., 2014; Kashem et al., 2011; Sharif &amp; Al-ani, 2015)","previouslyFormattedCitation":"(Alula et al., 2014; Kashem et al., 2011; Sharif &amp; Al-ani, 2015)"},"properties":{"noteIndex":0},"schema":"https://github.com/citation-style-language/schema/raw/master/csl-citation.json"}</w:instrText>
      </w:r>
      <w:r w:rsidRPr="00384232">
        <w:rPr>
          <w:rFonts w:ascii="Times New Roman" w:eastAsia="Times New Roman" w:hAnsi="Times New Roman"/>
          <w:sz w:val="24"/>
          <w:szCs w:val="24"/>
          <w:shd w:val="clear" w:color="auto" w:fill="FFFFFF"/>
        </w:rPr>
        <w:fldChar w:fldCharType="separate"/>
      </w:r>
      <w:r w:rsidRPr="00384232">
        <w:rPr>
          <w:rFonts w:ascii="Times New Roman" w:eastAsia="Times New Roman" w:hAnsi="Times New Roman"/>
          <w:noProof/>
          <w:sz w:val="24"/>
          <w:szCs w:val="24"/>
          <w:shd w:val="clear" w:color="auto" w:fill="FFFFFF"/>
        </w:rPr>
        <w:t xml:space="preserve">(Kashem et al 2011; Alula </w:t>
      </w:r>
      <w:r w:rsidRPr="00384232">
        <w:rPr>
          <w:rFonts w:ascii="Times New Roman" w:eastAsia="Times New Roman" w:hAnsi="Times New Roman"/>
          <w:i/>
          <w:noProof/>
          <w:sz w:val="24"/>
          <w:szCs w:val="24"/>
          <w:shd w:val="clear" w:color="auto" w:fill="FFFFFF"/>
        </w:rPr>
        <w:t>et al</w:t>
      </w:r>
      <w:r w:rsidRPr="00384232">
        <w:rPr>
          <w:rFonts w:ascii="Times New Roman" w:eastAsia="Times New Roman" w:hAnsi="Times New Roman"/>
          <w:noProof/>
          <w:sz w:val="24"/>
          <w:szCs w:val="24"/>
          <w:shd w:val="clear" w:color="auto" w:fill="FFFFFF"/>
        </w:rPr>
        <w:t xml:space="preserve"> 2014; Sharif and Al-ani 2015)</w:t>
      </w:r>
      <w:r w:rsidRPr="00384232">
        <w:rPr>
          <w:rFonts w:ascii="Times New Roman" w:eastAsia="Times New Roman" w:hAnsi="Times New Roman"/>
          <w:sz w:val="24"/>
          <w:szCs w:val="24"/>
          <w:shd w:val="clear" w:color="auto" w:fill="FFFFFF"/>
        </w:rPr>
        <w:fldChar w:fldCharType="end"/>
      </w:r>
      <w:r w:rsidRPr="00384232">
        <w:rPr>
          <w:rFonts w:ascii="Times New Roman" w:eastAsia="Times New Roman" w:hAnsi="Times New Roman"/>
          <w:sz w:val="24"/>
          <w:szCs w:val="24"/>
          <w:shd w:val="clear" w:color="auto" w:fill="FFFFFF"/>
        </w:rPr>
        <w:t xml:space="preserve">. </w:t>
      </w:r>
      <w:r w:rsidRPr="00384232">
        <w:rPr>
          <w:rFonts w:ascii="Times New Roman" w:eastAsia="Times New Roman" w:hAnsi="Times New Roman"/>
          <w:sz w:val="24"/>
          <w:szCs w:val="24"/>
        </w:rPr>
        <w:t xml:space="preserve">Diarrheic diseases are multifactorial that can be caused by viruses, bacteria and other microorganisms. Due to lab facility and </w:t>
      </w:r>
      <w:r w:rsidRPr="00384232">
        <w:rPr>
          <w:rFonts w:ascii="Times New Roman" w:eastAsia="Times New Roman" w:hAnsi="Times New Roman"/>
          <w:sz w:val="24"/>
          <w:szCs w:val="24"/>
        </w:rPr>
        <w:t>logistics limitations, we did not conduct etiologic identification of diarrheal causes. Instead, diarrheal</w:t>
      </w:r>
      <w:r w:rsidRPr="00384232">
        <w:rPr>
          <w:rFonts w:ascii="Times New Roman" w:eastAsia="Times New Roman" w:hAnsi="Times New Roman"/>
          <w:color w:val="252525"/>
          <w:sz w:val="24"/>
          <w:szCs w:val="24"/>
          <w:shd w:val="clear" w:color="auto" w:fill="FFFFFF"/>
        </w:rPr>
        <w:t xml:space="preserve"> cases and PPR cases were identified based on the predefined description of each disease given by small ruminant herders and enumerators as "</w:t>
      </w:r>
      <w:r w:rsidRPr="00384232">
        <w:rPr>
          <w:rFonts w:ascii="Times New Roman" w:eastAsia="Times New Roman" w:hAnsi="Times New Roman"/>
          <w:i/>
          <w:color w:val="252525"/>
          <w:sz w:val="24"/>
          <w:szCs w:val="24"/>
          <w:shd w:val="clear" w:color="auto" w:fill="FFFFFF"/>
        </w:rPr>
        <w:t>tekma</w:t>
      </w:r>
      <w:r w:rsidRPr="00384232">
        <w:rPr>
          <w:rFonts w:ascii="Times New Roman" w:eastAsia="Times New Roman" w:hAnsi="Times New Roman"/>
          <w:color w:val="252525"/>
          <w:sz w:val="24"/>
          <w:szCs w:val="24"/>
          <w:shd w:val="clear" w:color="auto" w:fill="FFFFFF"/>
        </w:rPr>
        <w:t>t” to mean diarrheal cases without typical respiratory and ocular abnormalities and "</w:t>
      </w:r>
      <w:r w:rsidRPr="00384232">
        <w:rPr>
          <w:rFonts w:ascii="Times New Roman" w:eastAsia="Times New Roman" w:hAnsi="Times New Roman"/>
          <w:i/>
          <w:color w:val="252525"/>
          <w:sz w:val="24"/>
          <w:szCs w:val="24"/>
          <w:shd w:val="clear" w:color="auto" w:fill="FFFFFF"/>
        </w:rPr>
        <w:t>desta messel</w:t>
      </w:r>
      <w:r w:rsidRPr="00384232">
        <w:rPr>
          <w:rFonts w:ascii="Times New Roman" w:eastAsia="Times New Roman" w:hAnsi="Times New Roman"/>
          <w:color w:val="252525"/>
          <w:sz w:val="24"/>
          <w:szCs w:val="24"/>
          <w:shd w:val="clear" w:color="auto" w:fill="FFFFFF"/>
        </w:rPr>
        <w:t xml:space="preserve">" to PPR, which means like "rinder pest" in </w:t>
      </w:r>
      <w:r w:rsidRPr="00384232">
        <w:rPr>
          <w:rFonts w:ascii="Times New Roman" w:eastAsia="Times New Roman" w:hAnsi="Times New Roman"/>
          <w:i/>
          <w:color w:val="252525"/>
          <w:sz w:val="24"/>
          <w:szCs w:val="24"/>
          <w:shd w:val="clear" w:color="auto" w:fill="FFFFFF"/>
        </w:rPr>
        <w:t>Amharic</w:t>
      </w:r>
      <w:r w:rsidRPr="00384232">
        <w:rPr>
          <w:rFonts w:ascii="Times New Roman" w:eastAsia="Times New Roman" w:hAnsi="Times New Roman"/>
          <w:color w:val="252525"/>
          <w:sz w:val="24"/>
          <w:szCs w:val="24"/>
          <w:shd w:val="clear" w:color="auto" w:fill="FFFFFF"/>
        </w:rPr>
        <w:t>.</w:t>
      </w:r>
    </w:p>
    <w:p w14:paraId="23D293CB"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607C9F2C"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r w:rsidRPr="00384232">
        <w:rPr>
          <w:rFonts w:ascii="Times New Roman" w:eastAsia="Times New Roman" w:hAnsi="Times New Roman"/>
          <w:color w:val="252525"/>
          <w:sz w:val="24"/>
          <w:szCs w:val="24"/>
          <w:shd w:val="clear" w:color="auto" w:fill="FFFFFF"/>
        </w:rPr>
        <w:t>These names were given due to the similarity in symptoms observed in the animals affected by the respective diarrheal and PPR cases. This identification process helped in fairly classifying and recording the cases during the study.</w:t>
      </w:r>
      <w:r w:rsidRPr="00384232">
        <w:rPr>
          <w:rFonts w:ascii="Times New Roman" w:eastAsia="Times New Roman" w:hAnsi="Times New Roman"/>
          <w:sz w:val="24"/>
          <w:szCs w:val="24"/>
          <w:shd w:val="clear" w:color="auto" w:fill="FFFFFF"/>
        </w:rPr>
        <w:t xml:space="preserve"> The diseases PPR was also found the third most prevalent cause of illness in kids (Figure 1). Other reports showed that it is the priority </w:t>
      </w:r>
      <w:r w:rsidRPr="00384232">
        <w:rPr>
          <w:rFonts w:ascii="Times New Roman" w:eastAsia="Times New Roman" w:hAnsi="Times New Roman"/>
          <w:sz w:val="24"/>
          <w:szCs w:val="24"/>
        </w:rPr>
        <w:t xml:space="preserve">disease of </w:t>
      </w:r>
      <w:r w:rsidRPr="00384232">
        <w:rPr>
          <w:rFonts w:ascii="Times New Roman" w:eastAsia="Times New Roman" w:hAnsi="Times New Roman"/>
          <w:sz w:val="24"/>
          <w:szCs w:val="24"/>
          <w:shd w:val="clear" w:color="auto" w:fill="FFFFFF"/>
        </w:rPr>
        <w:t xml:space="preserve">kids in Ethiopia </w:t>
      </w:r>
      <w:r w:rsidRPr="00384232">
        <w:rPr>
          <w:rFonts w:ascii="Times New Roman" w:eastAsia="Times New Roman" w:hAnsi="Times New Roman"/>
          <w:sz w:val="24"/>
          <w:szCs w:val="24"/>
          <w:shd w:val="clear" w:color="auto" w:fill="FFFFFF"/>
        </w:rPr>
        <w:fldChar w:fldCharType="begin" w:fldLock="1"/>
      </w:r>
      <w:r w:rsidRPr="00384232">
        <w:rPr>
          <w:rFonts w:ascii="Times New Roman" w:eastAsia="Times New Roman" w:hAnsi="Times New Roman"/>
          <w:sz w:val="24"/>
          <w:szCs w:val="24"/>
          <w:shd w:val="clear" w:color="auto" w:fill="FFFFFF"/>
        </w:rPr>
        <w:instrText>ADDIN CSL_CITATION {"citationItems":[{"id":"ITEM-1","itemData":{"author":[{"dropping-particle":"","family":"Tsegaye","given":"Dereje","non-dropping-particle":"","parse-names":false,"suffix":""},{"dropping-particle":"","family":"Belay","given":"Berhanu","non-dropping-particle":"","parse-names":false,"suffix":""},{"dropping-particle":"","family":"Haile","given":"Aynalem","non-dropping-particle":"","parse-names":false,"suffix":""}],"container-title":"Journal of Scientific and Innovative Research","id":"ITEM-1","issue":"January","issued":{"date-parts":[["2013"]]},"page":"680-688","title":"Prevalence of Major Goat Diseases and Mortality of Goat in Daro-Labu District Prevalence of Major Goat Diseases and Mortality of Goat in Daro-Labu District of West Hararghe , Eastern Ethiopia","type":"article-journal","volume":"2(3)"},"uris":["http://www.mendeley.com/documents/?uuid=1b52de55-22b6-438e-bb3c-3d94aac1be75"]},{"id":"ITEM-2","itemData":{"author":[{"dropping-particle":"","family":"Bahiru","given":"Adane","non-dropping-particle":"","parse-names":false,"suffix":""},{"dropping-particle":"","family":"Assefa","given":"Ayalew","non-dropping-particle":"","parse-names":false,"suffix":""}],"container-title":"Proceedings of the 11th Annual Regional Conference on Completed Livestock Research Activitie","editor":[{"dropping-particle":"","family":"Abegaz","given":"Solomon","non-dropping-particle":"","parse-names":false,"suffix":""},{"dropping-particle":"","family":"Yeheyis","given":"Likawent","non-dropping-particle":"","parse-names":false,"suffix":""},{"dropping-particle":"","family":"Lakew","given":"Mesfin","non-dropping-particle":"","parse-names":false,"suffix":""}],"id":"ITEM-2","issued":{"date-parts":[["2018"]]},"page":"261-272","publisher":"Amhara Agricultural Research Institute","title":"Investigation on Major Health Problems of Small Ruminants in Selected Districts of Waghemira zone, Amhara Regional State, Ethiopia Adane","type":"paper-conference"},"uris":["http://www.mendeley.com/documents/?uuid=f38cc9be-982e-4e02-a20e-bfaa8f5a2c6f"]}],"mendeley":{"formattedCitation":"(Bahiru &amp; Assefa, 2018; Tsegaye et al., 2013b)","manualFormatting":"(Bahiru &amp; Assefa, 2018; Tsegaye et al., 2013)","plainTextFormattedCitation":"(Bahiru &amp; Assefa, 2018; Tsegaye et al., 2013b)","previouslyFormattedCitation":"(Bahiru &amp; Assefa, 2018; Tsegaye et al., 2013b)"},"properties":{"noteIndex":0},"schema":"https://github.com/citation-style-language/schema/raw/master/csl-citation.json"}</w:instrText>
      </w:r>
      <w:r w:rsidRPr="00384232">
        <w:rPr>
          <w:rFonts w:ascii="Times New Roman" w:eastAsia="Times New Roman" w:hAnsi="Times New Roman"/>
          <w:sz w:val="24"/>
          <w:szCs w:val="24"/>
          <w:shd w:val="clear" w:color="auto" w:fill="FFFFFF"/>
        </w:rPr>
        <w:fldChar w:fldCharType="separate"/>
      </w:r>
      <w:r w:rsidRPr="00384232">
        <w:rPr>
          <w:rFonts w:ascii="Times New Roman" w:eastAsia="Times New Roman" w:hAnsi="Times New Roman"/>
          <w:noProof/>
          <w:sz w:val="24"/>
          <w:szCs w:val="24"/>
          <w:shd w:val="clear" w:color="auto" w:fill="FFFFFF"/>
        </w:rPr>
        <w:t xml:space="preserve">(Bahiru and Assefa 2018; Tsegaye </w:t>
      </w:r>
      <w:r w:rsidRPr="00384232">
        <w:rPr>
          <w:rFonts w:ascii="Times New Roman" w:eastAsia="Times New Roman" w:hAnsi="Times New Roman"/>
          <w:i/>
          <w:noProof/>
          <w:sz w:val="24"/>
          <w:szCs w:val="24"/>
          <w:shd w:val="clear" w:color="auto" w:fill="FFFFFF"/>
        </w:rPr>
        <w:t>et al</w:t>
      </w:r>
      <w:r w:rsidRPr="00384232">
        <w:rPr>
          <w:rFonts w:ascii="Times New Roman" w:eastAsia="Times New Roman" w:hAnsi="Times New Roman"/>
          <w:noProof/>
          <w:sz w:val="24"/>
          <w:szCs w:val="24"/>
          <w:shd w:val="clear" w:color="auto" w:fill="FFFFFF"/>
        </w:rPr>
        <w:t xml:space="preserve"> 2013)</w:t>
      </w:r>
      <w:r w:rsidRPr="00384232">
        <w:rPr>
          <w:rFonts w:ascii="Times New Roman" w:eastAsia="Times New Roman" w:hAnsi="Times New Roman"/>
          <w:sz w:val="24"/>
          <w:szCs w:val="24"/>
          <w:shd w:val="clear" w:color="auto" w:fill="FFFFFF"/>
        </w:rPr>
        <w:fldChar w:fldCharType="end"/>
      </w:r>
      <w:r w:rsidRPr="00384232">
        <w:rPr>
          <w:rFonts w:ascii="Times New Roman" w:eastAsia="Times New Roman" w:hAnsi="Times New Roman"/>
          <w:sz w:val="24"/>
          <w:szCs w:val="24"/>
          <w:shd w:val="clear" w:color="auto" w:fill="FFFFFF"/>
        </w:rPr>
        <w:t>.</w:t>
      </w:r>
      <w:r w:rsidRPr="00384232">
        <w:rPr>
          <w:rFonts w:ascii="Times New Roman" w:eastAsia="Times New Roman" w:hAnsi="Times New Roman"/>
          <w:sz w:val="24"/>
          <w:szCs w:val="24"/>
        </w:rPr>
        <w:t> </w:t>
      </w:r>
      <w:r w:rsidRPr="00384232">
        <w:rPr>
          <w:rFonts w:ascii="Times New Roman" w:eastAsia="Times New Roman" w:hAnsi="Times New Roman"/>
          <w:sz w:val="24"/>
          <w:szCs w:val="24"/>
          <w:shd w:val="clear" w:color="auto" w:fill="FFFFFF"/>
        </w:rPr>
        <w:t xml:space="preserve">PPR, caused by a morbillivirus, primarily affects the respiratory and gastrointestinal systems of goats and can lead to high mortality rates. </w:t>
      </w:r>
      <w:r w:rsidRPr="00384232">
        <w:rPr>
          <w:rFonts w:ascii="Times New Roman" w:eastAsia="Times New Roman" w:hAnsi="Times New Roman"/>
          <w:sz w:val="24"/>
          <w:szCs w:val="24"/>
        </w:rPr>
        <w:t xml:space="preserve">This disease has been a major cause of concern for the country's small ruminant production and efforts have been made to improve access to vaccinations to prevent further spread of the disease. However, kids are not receiving vaccines until they are weaned, their fourth month of life. Even sometimes, we miss vaccinating at this age due to logistical limitations. This is one of the gaps that we should fill in the near future. Besides, the OIE is planning to eradicate the disease by 2030. To achieve this goal, member countries have their share of responsibilities to fulfill , including strengthening vaccination programs and ensuring timely and widespread distribution of vaccines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{"citationItems":[{"id":"ITEM-1","itemData":{"DOI":"10.1111/tbed.13967","ISSN":"18651682","PMID":"33369166","abstract":"Peste des petits ruminants (PPR) is a highly contagious transboundary viral disease of sheep and goats that negatively impacted the farmers and pastoralists' livelihood in Africa and Asia. To overcome the disease's consequences, the OIE and FAO are collaborating efforts to eradicate the disease once and for all. We developed a predictive model that delineates suitable territories for the virus globally in support of this eradication programme. To achieve this, we used an ecological niche modelling with an ensemble algorithm. AUC-ROC curve, true skill statistics (TSS) and Kappa values were used to evaluate the model's performance. A TSS value greater than 0.7 was used to pool outputs of the nine model. The ensemble model has better performance than individual models by every evaluation metrics (Kappa = 0.82, TSS = 0.88 and ROC = 0.99). Annual minimum temperature (24.92%), annual maximum temperature (21.37%), goat density (18.03%) and solar radiation (14.04%) have the highest overall contribution in the ensemble model. The model indicates that India, Mongolia, Iraq, Iran, Afghanistan, Nepal, Tanzania, Uganda, Kenya, Sudan, Angola, Nigeria, DRC, Ghana, Sierra Leon, Southern Spain, France, Albania, Montenegro, Macedonia, Italy, Armenia and Azerbaijan are highly suitable for PPRv. In 2040, suitable territories for PPRv will diminish, indicating the odds are with us in eradicating disease by 2030. We believe that this model can be used as an epidemiological tool to facilitate the global eradication programme of the disease set by the OIE and FAO.","author":[{"dropping-particle":"","family":"Assefa","given":"Ayalew","non-dropping-particle":"","parse-names":false,"suffix":""},{"dropping-particle":"","family":"Tibebu","given":"Abebe","non-dropping-particle":"","parse-names":false,"suffix":""},{"dropping-particle":"","family":"Bihon","given":"Amare","non-dropping-particle":"","parse-names":false,"suffix":""},{"dropping-particle":"","family":"Yimana","given":"Muhabaw","non-dropping-particle":"","parse-names":false,"suffix":""}],"container-title":"Transboundary and Emerging Diseases","id":"ITEM-1","issue":"6","issued":{"date-parts":[["2021"]]},"page":"3601-3610","title":"Global ecological niche modelling of current and future distribution of peste des petits ruminants virus (PPRv) with an ensemble modelling algorithm","type":"article-journal","volume":"68"},"uris":["http://www.mendeley.com/documents/?uuid=5fbd5fea-fe36-44a6-9073-fe23fd435a35"]}],"mendeley":{"formattedCitation":"(Assefa et al., 2021)","plainTextFormattedCitation":"(Assefa et al., 2021)","previouslyFormattedCitation":"(Assefa et al., 2021)"},"properties":{"noteIndex":0},"schema":"https://github.com/citation-style-language/schema/raw/master/csl-citation.json"}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(Assefa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2021)</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w:t>
      </w:r>
    </w:p>
    <w:p w14:paraId="51BD7795"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sectPr w:rsidR="00742C01" w:rsidRPr="00384232" w:rsidSect="00384232">
          <w:type w:val="continuous"/>
          <w:pgSz w:w="11907" w:h="16839" w:code="9"/>
          <w:pgMar w:top="1440" w:right="1440" w:bottom="1440" w:left="1440" w:header="720" w:footer="720" w:gutter="0"/>
          <w:cols w:num="2" w:space="720"/>
          <w:docGrid w:linePitch="360"/>
        </w:sectPr>
      </w:pPr>
    </w:p>
    <w:p w14:paraId="27F33F51" w14:textId="5D60482B"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p>
    <w:p w14:paraId="39D0C238"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p>
    <w:p w14:paraId="18B7B63D"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r w:rsidRPr="00384232">
        <w:rPr>
          <w:rFonts w:ascii="Times New Roman" w:eastAsia="Times New Roman" w:hAnsi="Times New Roman"/>
          <w:color w:val="252525"/>
          <w:sz w:val="24"/>
          <w:szCs w:val="24"/>
          <w:shd w:val="clear" w:color="auto" w:fill="FFFFFF"/>
        </w:rPr>
        <w:lastRenderedPageBreak/>
        <w:t xml:space="preserve"> </w:t>
      </w:r>
      <w:r w:rsidRPr="00384232">
        <w:rPr>
          <w:rFonts w:ascii="Times New Roman" w:eastAsia="Times New Roman" w:hAnsi="Times New Roman"/>
          <w:noProof/>
          <w:color w:val="252525"/>
          <w:sz w:val="24"/>
          <w:szCs w:val="24"/>
          <w:shd w:val="clear" w:color="auto" w:fill="FFFFFF"/>
          <w:lang w:val="en-US" w:eastAsia="en-US"/>
        </w:rPr>
        <w:drawing>
          <wp:inline distT="0" distB="0" distL="0" distR="0" wp14:anchorId="0EBE0B4B" wp14:editId="2BC3EB01">
            <wp:extent cx="4314825" cy="3220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tif"/>
                    <pic:cNvPicPr/>
                  </pic:nvPicPr>
                  <pic:blipFill>
                    <a:blip r:embed="rId12">
                      <a:extLst>
                        <a:ext uri="{28A0092B-C50C-407E-A947-70E740481C1C}">
                          <a14:useLocalDpi xmlns:a14="http://schemas.microsoft.com/office/drawing/2010/main" val="0"/>
                        </a:ext>
                      </a:extLst>
                    </a:blip>
                    <a:stretch>
                      <a:fillRect/>
                    </a:stretch>
                  </pic:blipFill>
                  <pic:spPr>
                    <a:xfrm>
                      <a:off x="0" y="0"/>
                      <a:ext cx="4315828" cy="3221675"/>
                    </a:xfrm>
                    <a:prstGeom prst="rect">
                      <a:avLst/>
                    </a:prstGeom>
                  </pic:spPr>
                </pic:pic>
              </a:graphicData>
            </a:graphic>
          </wp:inline>
        </w:drawing>
      </w:r>
      <w:r w:rsidRPr="00384232">
        <w:rPr>
          <w:rFonts w:ascii="Times New Roman" w:eastAsia="Times New Roman" w:hAnsi="Times New Roman"/>
          <w:color w:val="252525"/>
          <w:sz w:val="24"/>
          <w:szCs w:val="24"/>
          <w:shd w:val="clear" w:color="auto" w:fill="FFFFFF"/>
        </w:rPr>
        <w:t xml:space="preserve">     </w:t>
      </w:r>
    </w:p>
    <w:p w14:paraId="5AD6F81B"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color w:val="252525"/>
          <w:sz w:val="24"/>
          <w:szCs w:val="24"/>
          <w:shd w:val="clear" w:color="auto" w:fill="FFFFFF"/>
        </w:rPr>
        <w:t xml:space="preserve">Figure 1: </w:t>
      </w:r>
      <w:r w:rsidRPr="00384232">
        <w:rPr>
          <w:rFonts w:ascii="Times New Roman" w:eastAsia="Times New Roman" w:hAnsi="Times New Roman"/>
          <w:sz w:val="24"/>
          <w:szCs w:val="24"/>
        </w:rPr>
        <w:t>Disease frequency of goat kids in Aybira and Sazba sites of Waghimra zone, Ethiopia (2017-2019)</w:t>
      </w:r>
    </w:p>
    <w:p w14:paraId="03F91B9F"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05FD1283" w14:textId="77777777" w:rsidR="00742C01" w:rsidRPr="00384232" w:rsidRDefault="00742C01" w:rsidP="00384232">
      <w:pPr>
        <w:widowControl w:val="0"/>
        <w:autoSpaceDE w:val="0"/>
        <w:autoSpaceDN w:val="0"/>
        <w:rPr>
          <w:rFonts w:ascii="Times New Roman" w:eastAsia="Times New Roman" w:hAnsi="Times New Roman"/>
          <w:b/>
          <w:bCs/>
          <w:sz w:val="24"/>
          <w:szCs w:val="24"/>
        </w:rPr>
        <w:sectPr w:rsidR="00742C01" w:rsidRPr="00384232" w:rsidSect="00384232">
          <w:type w:val="continuous"/>
          <w:pgSz w:w="11907" w:h="16839" w:code="9"/>
          <w:pgMar w:top="1440" w:right="1440" w:bottom="1440" w:left="1440" w:header="720" w:footer="720" w:gutter="0"/>
          <w:cols w:space="720"/>
          <w:docGrid w:linePitch="360"/>
        </w:sectPr>
      </w:pPr>
    </w:p>
    <w:p w14:paraId="06A56740" w14:textId="6CA1606C" w:rsidR="00742C01" w:rsidRPr="00384232" w:rsidRDefault="00742C01" w:rsidP="00384232">
      <w:pPr>
        <w:widowControl w:val="0"/>
        <w:autoSpaceDE w:val="0"/>
        <w:autoSpaceDN w:val="0"/>
        <w:rPr>
          <w:rFonts w:ascii="Times New Roman" w:eastAsia="Times New Roman" w:hAnsi="Times New Roman"/>
          <w:b/>
          <w:bCs/>
          <w:sz w:val="24"/>
          <w:szCs w:val="24"/>
        </w:rPr>
      </w:pPr>
      <w:r w:rsidRPr="00384232">
        <w:rPr>
          <w:rFonts w:ascii="Times New Roman" w:eastAsia="Times New Roman" w:hAnsi="Times New Roman"/>
          <w:b/>
          <w:bCs/>
          <w:sz w:val="24"/>
          <w:szCs w:val="24"/>
        </w:rPr>
        <w:t xml:space="preserve">Kid Mortality Rate and Major Causes of Deaths </w:t>
      </w:r>
    </w:p>
    <w:p w14:paraId="1276B67A" w14:textId="77777777" w:rsidR="00742C01" w:rsidRPr="00384232" w:rsidRDefault="00742C01" w:rsidP="00384232">
      <w:pPr>
        <w:widowControl w:val="0"/>
        <w:autoSpaceDE w:val="0"/>
        <w:autoSpaceDN w:val="0"/>
        <w:rPr>
          <w:rFonts w:ascii="Times New Roman" w:eastAsia="Times New Roman" w:hAnsi="Times New Roman"/>
          <w:sz w:val="24"/>
          <w:szCs w:val="24"/>
          <w:shd w:val="clear" w:color="auto" w:fill="FFFFFF"/>
        </w:rPr>
      </w:pPr>
      <w:r w:rsidRPr="00384232">
        <w:rPr>
          <w:rFonts w:ascii="Times New Roman" w:eastAsia="Times New Roman" w:hAnsi="Times New Roman"/>
          <w:sz w:val="24"/>
          <w:szCs w:val="24"/>
        </w:rPr>
        <w:t xml:space="preserve">The mortality rate from the total kids born was 7.5% (108/1438). This was similar with a report 12.3%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{"citationItems":[{"id":"ITEM-1","itemData":{"DOI":"10.5829/idosi.gv.2017.168.177","abstract":"The user has requested enhancement of the downloaded file.","author":[{"dropping-particle":"","family":"Tifashe","given":"Merkine","non-dropping-particle":"","parse-names":false,"suffix":""},{"dropping-particle":"","family":"Hassan","given":"Ahamed","non-dropping-particle":"","parse-names":false,"suffix":""},{"dropping-particle":"","family":"Herago","given":"Tamirat","non-dropping-particle":"","parse-names":false,"suffix":""},{"dropping-particle":"","family":"Tesfamariam","given":"Gebregeorgis","non-dropping-particle":"","parse-names":false,"suffix":""}],"container-title":"Global Veterinaria","id":"ITEM-1","issue":"3","issued":{"date-parts":[["2017"]]},"page":"168-177","title":"Analysis of Morbidity and Mortality of Sheep and Goat in Wolaita Soddo Zuria District, Southern Ethiopia","type":"article-journal","volume":"18"},"uris":["http://www.mendeley.com/documents/?uuid=f4b42ef0-4c05-4a9e-a0d0-2c2a478d8b32"]}],"mendeley":{"formattedCitation":"(Tifashe et al., 2017)","plainTextFormattedCitation":"(Tifashe et al., 2017)","previouslyFormattedCitation":"(Tifashe et al., 2017)"},"properties":{"noteIndex":0},"schema":"https://github.com/citation-style-language/schema/raw/master/csl-citation.json"}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(Tifashe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2017)</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in southern Ethiopia and higher than (3.2%)  in Jordan </w:t>
      </w:r>
      <w:r w:rsidRPr="00384232">
        <w:rPr>
          <w:rFonts w:ascii="Times New Roman" w:eastAsia="Times New Roman" w:hAnsi="Times New Roman"/>
          <w:sz w:val="24"/>
          <w:szCs w:val="24"/>
          <w:vertAlign w:val="superscript"/>
        </w:rPr>
        <w:fldChar w:fldCharType="begin" w:fldLock="1"/>
      </w:r>
      <w:r w:rsidRPr="00384232">
        <w:rPr>
          <w:rFonts w:ascii="Times New Roman" w:eastAsia="Times New Roman" w:hAnsi="Times New Roman"/>
          <w:sz w:val="24"/>
          <w:szCs w:val="24"/>
        </w:rPr>
        <w:instrText>ADDIN CSL_CITATION {"citationItems":[{"id":"ITEM-1","itemData":{"author":[{"dropping-particle":"","family":"Sharif","given":"Labib","non-dropping-particle":"","parse-names":false,"suffix":""},{"dropping-particle":"","family":"Al-ani","given":"Falah","non-dropping-particle":"","parse-names":false,"suffix":""}],"container-title":"BJVM","id":"ITEM-1","issue":"October","issued":{"date-parts":[["2015"]]},"page":"100-108","title":"Risk factors for lamb and kid mortality in sheep and goat farms in Jordan RISK FACTORS FOR LAMB AND KID MORTALITY IN","type":"article-journal","volume":"8(2)"},"uris":["http://www.mendeley.com/documents/?uuid=61676682-1290-43d4-8140-282802c519e2"]}],"mendeley":{"formattedCitation":"(Sharif &amp; Al-ani, 2015)","plainTextFormattedCitation":"(Sharif &amp; Al-ani, 2015)","previouslyFormattedCitation":"(Sharif &amp; Al-ani, 2015)"},"properties":{"noteIndex":0},"schema":"https://github.com/citation-style-language/schema/raw/master/csl-citation.json"}</w:instrText>
      </w:r>
      <w:r w:rsidRPr="00384232">
        <w:rPr>
          <w:rFonts w:ascii="Times New Roman" w:eastAsia="Times New Roman" w:hAnsi="Times New Roman"/>
          <w:sz w:val="24"/>
          <w:szCs w:val="24"/>
          <w:vertAlign w:val="superscript"/>
        </w:rPr>
        <w:fldChar w:fldCharType="separate"/>
      </w:r>
      <w:r w:rsidRPr="00384232">
        <w:rPr>
          <w:rFonts w:ascii="Times New Roman" w:eastAsia="Times New Roman" w:hAnsi="Times New Roman"/>
          <w:noProof/>
          <w:sz w:val="24"/>
          <w:szCs w:val="24"/>
        </w:rPr>
        <w:t>(Sharif and Al-ani 2015)</w:t>
      </w:r>
      <w:r w:rsidRPr="00384232">
        <w:rPr>
          <w:rFonts w:ascii="Times New Roman" w:eastAsia="Times New Roman" w:hAnsi="Times New Roman"/>
          <w:sz w:val="24"/>
          <w:szCs w:val="24"/>
          <w:vertAlign w:val="superscript"/>
        </w:rPr>
        <w:fldChar w:fldCharType="end"/>
      </w:r>
      <w:r w:rsidRPr="00384232">
        <w:rPr>
          <w:rFonts w:ascii="Times New Roman" w:eastAsia="Times New Roman" w:hAnsi="Times New Roman"/>
          <w:sz w:val="24"/>
          <w:szCs w:val="24"/>
        </w:rPr>
        <w:t xml:space="preserve">.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{"citationItems":[{"id":"ITEM-1","itemData":{"abstract":"Livestock in Ethiopia has been recognized as one of the most important sectors in subsistence agriculture in the quest to attain human food security and good welfare. Though the country has the largest inventory of livestock in the continent, production is severely affected for various reasons. A single visit survey was undertaken in July and August 2015 with the purpose of determining the annual mortality during June 2014 to June 2015 and investigating the major causes of young stock mortality under different livestock production settings. The study was undertaken in herds from mixed crop-livestock (n = 747), pastoral (n = 452), and peri-urban and urban dairy (n = 332) production systems. One-year retrospective data were collected from livestock owners by interview using semi-structured questionnaires and direct observation of farm practices. Participatory investigation techniques were applied to identify and prioritize causes of young stock mortality. In mixed crop-livestock production systems, mean annual mortality (birth-to-weaning) was reported in the range of 9.2–14% in calves, 14.9–33.5% in lambs, and 17.6–24% in kids. The pre-parturient loss in terms of abortion and stillbirth was 3.0–8.7% in cattle, 7.5–8% in lambs, and 9.3–14.4% in kids. The annual calf mortality in the urban and peri-urban dairy production system was reported in the range of 15.3–25%. The premature loss in terms of stillbirth was 6.2–14.4%. In the pastoral production system, the annual birth-to-weaning mortality of young stock was reported in the range of 26–29.2% in cattle, 32.5–35% in camel calves, and 35–36% in lambs and kids. The premature death (abortion and stillbirth) was 17.4– 21.2% in cattle, 23.4–48.8% in camels, and 25–41% in small ruminants. Age-specific mortality across the production systems declined with increased age, and the highest mortality was recorded during the first month of life extending up to the third month of age. Regardless of the production system, disease and malnutrition were the most important causes of mortality in young stock. Among the diseases, diarrhea and respiratory disorders were important causes of young stock mortality. Malpractices in young stock management were identified, including restricted colostrum and milk feeding, poor care and supplemental feeding, and poor health management. Livestock keepers appeared to be aware of the challenges of young stock, but seemed to have inadequate knowledge to deal with the challenges. Interven…","author":[{"dropping-particle":"","family":"Fentie","given":"Tsegaw","non-dropping-particle":"","parse-names":false,"suffix":""}],"id":"ITEM-1","issue":"February","issued":{"date-parts":[["2016"]]},"page":"44","title":"Assessment of Young Stock Mortality in Major Livestock Production Systems of Ethiopia","type":"article-journal"},"uris":["http://www.mendeley.com/documents/?uuid=c306e418-0f1e-46d7-8b42-8eac557376c9"]}],"mendeley":{"formattedCitation":"(Fentie, 2016)","manualFormatting":"Fentie (2016)","plainTextFormattedCitation":"(Fentie, 2016)","previouslyFormattedCitation":"(Fentie, 2016)"},"properties":{"noteIndex":0},"schema":"https://github.com/citation-style-language/schema/raw/master/csl-citation.json"}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Fentie (2016)</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reported the mortality of kids as </w:t>
      </w:r>
      <w:r w:rsidRPr="00384232">
        <w:rPr>
          <w:rFonts w:ascii="Times New Roman" w:eastAsia="Times New Roman" w:hAnsi="Times New Roman"/>
          <w:sz w:val="24"/>
          <w:szCs w:val="24"/>
        </w:rPr>
        <w:t xml:space="preserve">17.6–24% in mixed crop production system in Ethiopia. However, the finding was lower than the reports 69.2%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{"citationItems":[{"id":"ITEM-1","itemData":{"DOI":"10.1002/vms3.876","ISSN":"20531095","PMID":"35810464","abstract":"Background: Analysis of survival data by linear or logistic model ignores censoring and skewness inherent in the mortality data. The objective of this study is to estimate the morbidity and mortality rates of kids and adult goats, identify important risk factors for mortality using survival analysis and summarise important causes of goat death. Methods: Nonparametric survival analysis and a piecewise exponential model (PEM) were used. Results: The mortality rates of kids and adult goats were 0.629 and 0.302 per animal year, respectively. The 25th, 50th and 75th percentiles of survival time of kids were 5, 162 and 1300 days, respectively, and those of adults and goats were 280, 828 and 1,735 days, respectively. Gastrointestinal-related diseases, pneumonia, weak kid, agalactia, mismothering and heartwater (cowdriosis) were the most important causes of mortality. Constant piecewise exponential regression analysis of risk factors indicated that breed, kid birth weight, doe post-partum weight (PPWT), birth type, birth year and precipitation variables were associated with (p-value &lt; 0.05) kid mortality rate. Pure Boer kids compared with Central Highland goat cross with Boer goats were 2.505 times at a higher probability of mortality (p-value &lt; 0.001). A 1-kg increase in kid birth weight and dam PPWT reduces mortality probability by 32.5% (p-value = 0.000) and 6.4% (p-value &lt; 0.001), respectively. Twin birth kids had a 1.512 times higher rate of mortality (p-value = 0.001) than single-born kids. A 1-ml increment of 15 days of average precipitation significantly reduced kid mortality by 7.8% (p-value &lt; 0.001). Conclusion: Vaccination, extensive control of ticks and the use of proper comfortable housing to reduce the stress of goats are recommended. Scheduling a mating programme (May to early July) to match the kidding period to the less kid mortality seasons (end of the long rainy season) of flocks is also important to reduce kid mortality.","author":[{"dropping-particle":"","family":"Yitagesu","given":"Erdachew","non-dropping-particle":"","parse-names":false,"suffix":""},{"dropping-particle":"","family":"Alemnew","given":"Enyiew","non-dropping-particle":"","parse-names":false,"suffix":""}],"container-title":"Veterinary Medicine and Science","id":"ITEM-1","issue":"5","issued":{"date-parts":[["2022"]]},"page":"2183-2193","title":"Mortality rate of Boer, Central Highland goat and their crosses in Ethiopia: Nonparametric survival analysis and piecewise exponential model","type":"article-journal","volume":"8"},"uris":["http://www.mendeley.com/documents/?uuid=8aa8e86e-d9ca-4e4d-9ff8-e211819e15cb"]}],"mendeley":{"formattedCitation":"(Yitagesu &amp; Alemnew, 2022)","plainTextFormattedCitation":"(Yitagesu &amp; Alemnew, 2022)","previouslyFormattedCitation":"(Yitagesu &amp; Alemnew, 2022)"},"properties":{"noteIndex":0},"schema":"https://github.com/citation-style-language/schema/raw/master/csl-citation.json"}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(Yitagesu and Alemnew 2022)</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42.3%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{"citationItems":[{"id":"ITEM-1","itemData":{"ISSN":"01213784","abstract":"Central Highland Goats were crossed with Boer to evaluate productivity, reproduction potential, and disease incidence and to assess their suitability for meat production by small-scale farmers and households in Ethiopia. The study was conducted in Debre Birhan Agricultural Research Centre; Ataye Boer Nucleus Site from January 2016 to December 2018 to determine the rate of kid mortality and associated risk factors of kid survival. The data were collected from the reproductive and mortality register book. A total of 300 kids were documented during the time period, which were analyzed to assess the importance of the existing cause of kid mortality and survival. Agalactia was the primary health problem and cause of mortality in the study site. Survival rates were less for kids with birth weighs below 1.9 kg, for increasing size of the litter and for female compared with male kids.","author":[{"dropping-particle":"","family":"Alemnew","given":"E.","non-dropping-particle":"","parse-names":false,"suffix":""},{"dropping-particle":"","family":"Yitagesu","given":"E.","non-dropping-particle":"","parse-names":false,"suffix":""},{"dropping-particle":"","family":"Goshme","given":"S.","non-dropping-particle":"","parse-names":false,"suffix":""},{"dropping-particle":"","family":"Aydefruhim","given":"D.","non-dropping-particle":"","parse-names":false,"suffix":""}],"container-title":"Livestock Research for Rural Development","id":"ITEM-1","issue":"7","issued":{"date-parts":[["2020"]]},"title":"Retrospective study on kid mortality and associated risk factors of kid survival of newly introduced Boer goat breed in North Shewa Ethiopia","type":"article-journal","volume":"32"},"uris":["http://www.mendeley.com/documents/?uuid=ccf38a54-3a46-400b-9942-78b07c5dba0f"]}],"mendeley":{"formattedCitation":"(Alemnew et al., 2020)","plainTextFormattedCitation":"(Alemnew et al., 2020)","previouslyFormattedCitation":"(Alemnew et al., 2020)"},"properties":{"noteIndex":0},"schema":"https://github.com/citation-style-language/schema/raw/master/csl-citation.json"}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(Alemnew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2020)</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and 35.5% (pastoral production systems)</w:t>
      </w:r>
      <w:r w:rsidRPr="00384232">
        <w:rPr>
          <w:rFonts w:ascii="Times New Roman" w:eastAsia="Times New Roman" w:hAnsi="Times New Roman"/>
          <w:color w:val="252525"/>
          <w:sz w:val="24"/>
          <w:szCs w:val="24"/>
          <w:shd w:val="clear" w:color="auto" w:fill="FFFFFF"/>
        </w:rPr>
        <w:t xml:space="preserve">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{"citationItems":[{"id":"ITEM-1","itemData":{"abstract":"Livestock in Ethiopia has been recognized as one of the most important sectors in subsistence agriculture in the quest to attain human food security and good welfare. Though the country has the largest inventory of livestock in the continent, production is severely affected for various reasons. A single visit survey was undertaken in July and August 2015 with the purpose of determining the annual mortality during June 2014 to June 2015 and investigating the major causes of young stock mortality under different livestock production settings. The study was undertaken in herds from mixed crop-livestock (n = 747), pastoral (n = 452), and peri-urban and urban dairy (n = 332) production systems. One-year retrospective data were collected from livestock owners by interview using semi-structured questionnaires and direct observation of farm practices. Participatory investigation techniques were applied to identify and prioritize causes of young stock mortality. In mixed crop-livestock production systems, mean annual mortality (birth-to-weaning) was reported in the range of 9.2–14% in calves, 14.9–33.5% in lambs, and 17.6–24% in kids. The pre-parturient loss in terms of abortion and stillbirth was 3.0–8.7% in cattle, 7.5–8% in lambs, and 9.3–14.4% in kids. The annual calf mortality in the urban and peri-urban dairy production system was reported in the range of 15.3–25%. The premature loss in terms of stillbirth was 6.2–14.4%. In the pastoral production system, the annual birth-to-weaning mortality of young stock was reported in the range of 26–29.2% in cattle, 32.5–35% in camel calves, and 35–36% in lambs and kids. The premature death (abortion and stillbirth) was 17.4– 21.2% in cattle, 23.4–48.8% in camels, and 25–41% in small ruminants. Age-specific mortality across the production systems declined with increased age, and the highest mortality was recorded during the first month of life extending up to the third month of age. Regardless of the production system, disease and malnutrition were the most important causes of mortality in young stock. Among the diseases, diarrhea and respiratory disorders were important causes of young stock mortality. Malpractices in young stock management were identified, including restricted colostrum and milk feeding, poor care and supplemental feeding, and poor health management. Livestock keepers appeared to be aware of the challenges of young stock, but seemed to have inadequate knowledge to deal with the challenges. Interven…","author":[{"dropping-particle":"","family":"Fentie","given":"Tsegaw","non-dropping-particle":"","parse-names":false,"suffix":""}],"id":"ITEM-1","issue":"February","issued":{"date-parts":[["2016"]]},"page":"44","title":"Assessment of Young Stock Mortality in Major Livestock Production Systems of Ethiopia","type":"article-journal"},"uris":["http://www.mendeley.com/documents/?uuid=c306e418-0f1e-46d7-8b42-8eac557376c9"]}],"mendeley":{"formattedCitation":"(Fentie, 2016)","plainTextFormattedCitation":"(Fentie, 2016)","previouslyFormattedCitation":"(Fentie, 2016)"},"properties":{"noteIndex":0},"schema":"https://github.com/citation-style-language/schema/raw/master/csl-citation.json"}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(Fentie 2016)</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A study in South Africa reported that diseases were the most contributing factor to kids mortality </w:t>
      </w:r>
      <w:r w:rsidRPr="00384232">
        <w:rPr>
          <w:rFonts w:ascii="Times New Roman" w:eastAsia="Times New Roman" w:hAnsi="Times New Roman"/>
          <w:color w:val="252525"/>
          <w:sz w:val="24"/>
          <w:szCs w:val="24"/>
          <w:shd w:val="clear" w:color="auto" w:fill="FFFFFF"/>
        </w:rPr>
        <w:fldChar w:fldCharType="begin" w:fldLock="1"/>
      </w:r>
      <w:r w:rsidRPr="00384232">
        <w:rPr>
          <w:rFonts w:ascii="Times New Roman" w:eastAsia="Times New Roman" w:hAnsi="Times New Roman"/>
          <w:color w:val="252525"/>
          <w:sz w:val="24"/>
          <w:szCs w:val="24"/>
          <w:shd w:val="clear" w:color="auto" w:fill="FFFFFF"/>
        </w:rPr>
        <w:instrText>ADDIN CSL_CITATION {"citationItems":[{"id":"ITEM-1","itemData":{"DOI":"10.1007/s11250-014-0630-5","ISBN":"1125001406305","ISSN":"15737438","PMID":"24993552","abstract":"Rearing of goats under communal farming conditions is characterised by high kid mortality and low weaning percentages. A survey was conducted to determine farmers’ perceptions on the causes of kid mortality during summer under the communal farming system in Nkonkobe Local Municipality in the Eastern Cape, South Africa. This was done by administering questionnaires to a total of 162 respondents in 14 villages around Nkonkobe Local Municipality. The study showed that majority of farmers (75 %) keep flock sizes of less than 10 goats and kids, and this indicates that goat production in Nkonkobe Local Municipality is suppressed. According to the farmers, diseases (89 %), endo-parasites (72 %) and ecto-parasites (68 %) were perceived as the major causes of kid mortality. Other causes reported include starvation (15 %), extreme weather conditions (28 %), abortion (7 %), theft (35 %), diarrhoea (43 %), accidents (10 %) and wounds (9 %). The low number of goats could be attributed to high mortalities. It was also found that all causes reported by farmers played a role in high kid mortality in Nkonkobe Local Municipality. However, the causes which require more emphasis to formulate extension support were tick-borne diseases and parasites. This study provided baseline information on possible causes of kid mortalities in Nkonkobe Local Municipality. There is, however, a need to conduct further studies to determine actual causes of high kid mortalities so as to develop preventive strategies that would minimize kid mortality for good economic returns.","author":[{"dropping-particle":"","family":"Slayi","given":"Mhlangabezi","non-dropping-particle":"","parse-names":false,"suffix":""},{"dropping-particle":"","family":"Maphosa","given":"Viola","non-dropping-particle":"","parse-names":false,"suffix":""},{"dropping-particle":"","family":"Fayemi","given":"Olutope Peter","non-dropping-particle":"","parse-names":false,"suffix":""},{"dropping-particle":"","family":"Mapfumo","given":"Lizwell","non-dropping-particle":"","parse-names":false,"suffix":""}],"container-title":"Tropical Animal Health and Production","id":"ITEM-1","issue":"7","issued":{"date-parts":[["2014"]]},"page":"1209-1215","title":"Farmers’ perceptions of goat kid mortality under communal farming in Eastern Cape, South Africa","type":"article-journal","volume":"46"},"uris":["http://www.mendeley.com/documents/?uuid=3322788c-b5a1-4832-833a-d95f8e730f5c"]}],"mendeley":{"formattedCitation":"(Slayi et al., 2014)","plainTextFormattedCitation":"(Slayi et al., 2014)","previouslyFormattedCitation":"(Slayi et al., 2014)"},"properties":{"noteIndex":0},"schema":"https://github.com/citation-style-language/schema/raw/master/csl-citation.json"}</w:instrText>
      </w:r>
      <w:r w:rsidRPr="00384232">
        <w:rPr>
          <w:rFonts w:ascii="Times New Roman" w:eastAsia="Times New Roman" w:hAnsi="Times New Roman"/>
          <w:color w:val="252525"/>
          <w:sz w:val="24"/>
          <w:szCs w:val="24"/>
          <w:shd w:val="clear" w:color="auto" w:fill="FFFFFF"/>
        </w:rPr>
        <w:fldChar w:fldCharType="separate"/>
      </w:r>
      <w:r w:rsidRPr="00384232">
        <w:rPr>
          <w:rFonts w:ascii="Times New Roman" w:eastAsia="Times New Roman" w:hAnsi="Times New Roman"/>
          <w:noProof/>
          <w:color w:val="252525"/>
          <w:sz w:val="24"/>
          <w:szCs w:val="24"/>
          <w:shd w:val="clear" w:color="auto" w:fill="FFFFFF"/>
        </w:rPr>
        <w:t xml:space="preserve">(Slayi </w:t>
      </w:r>
      <w:r w:rsidRPr="00384232">
        <w:rPr>
          <w:rFonts w:ascii="Times New Roman" w:eastAsia="Times New Roman" w:hAnsi="Times New Roman"/>
          <w:i/>
          <w:noProof/>
          <w:color w:val="252525"/>
          <w:sz w:val="24"/>
          <w:szCs w:val="24"/>
          <w:shd w:val="clear" w:color="auto" w:fill="FFFFFF"/>
        </w:rPr>
        <w:t>et al</w:t>
      </w:r>
      <w:r w:rsidRPr="00384232">
        <w:rPr>
          <w:rFonts w:ascii="Times New Roman" w:eastAsia="Times New Roman" w:hAnsi="Times New Roman"/>
          <w:noProof/>
          <w:color w:val="252525"/>
          <w:sz w:val="24"/>
          <w:szCs w:val="24"/>
          <w:shd w:val="clear" w:color="auto" w:fill="FFFFFF"/>
        </w:rPr>
        <w:t xml:space="preserve"> 2014)</w:t>
      </w:r>
      <w:r w:rsidRPr="00384232">
        <w:rPr>
          <w:rFonts w:ascii="Times New Roman" w:eastAsia="Times New Roman" w:hAnsi="Times New Roman"/>
          <w:color w:val="252525"/>
          <w:sz w:val="24"/>
          <w:szCs w:val="24"/>
          <w:shd w:val="clear" w:color="auto" w:fill="FFFFFF"/>
        </w:rPr>
        <w:fldChar w:fldCharType="end"/>
      </w:r>
      <w:r w:rsidRPr="00384232">
        <w:rPr>
          <w:rFonts w:ascii="Times New Roman" w:eastAsia="Times New Roman" w:hAnsi="Times New Roman"/>
          <w:color w:val="252525"/>
          <w:sz w:val="24"/>
          <w:szCs w:val="24"/>
          <w:shd w:val="clear" w:color="auto" w:fill="FFFFFF"/>
        </w:rPr>
        <w:t xml:space="preserve">. </w:t>
      </w:r>
      <w:r w:rsidRPr="00384232">
        <w:rPr>
          <w:rFonts w:ascii="Times New Roman" w:eastAsia="Times New Roman" w:hAnsi="Times New Roman"/>
          <w:sz w:val="24"/>
          <w:szCs w:val="24"/>
        </w:rPr>
        <w:t xml:space="preserve">The most frequently associated diseases with mortality were PPR, diarrhea, and Anthrax. In newborns, the chance of survival is low if they contract PPR due to the acute severity and nature of the disease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{"citationItems":[{"id":"ITEM-1","itemData":{"DOI":"10.3329/ujzru.v30i0.10702","ISSN":"10236104","abstract":"A study was carried out in Faridpur, Habiganj and Barisal to identify the prevalence of diseases, morbidity and mortality of Black Bengal goats (BBGs) under semi-intensive system reared by moderate and ultra poor households in Bangladesh during the period from February 2008 to July 2009. A total of 168 female goats and 9 bucks were recorded from two types of households of which 125 goats were infected (74.70%) by a number of diseases and lead to mortality (17.26%). Survival rates and mortality percentage of kids were 80.60 and 19.40, respectively but the highest mortality was in Habiganj (21.18%). Seasons had special influences on mortality of adult goats (35.81%) and kids (64.19%) where the highest mortality rates were 22.22% and 25.93%, respectively in rainy season. PPR had the highest mortality rates (37.93% in adults and 25.00% in kids) followed by pneumonia (24.14% and 21.15%, respectively). Predator invasion was the other remarkable cause for increased kids' mortality (23.08%). The study suggests that hygienic management practices, adequate supply of nutrients, and vaccination and deworming programmes in semi-intensive rearing system of BBGs at rural level will improve the urvival rates of adult goats and kids. © Rajshahi University Zoological Society.","author":[{"dropping-particle":"","family":"Kashem","given":"M. A.","non-dropping-particle":"","parse-names":false,"suffix":""},{"dropping-particle":"","family":"Hossain","given":"M. A.","non-dropping-particle":"","parse-names":false,"suffix":""},{"dropping-particle":"","family":"Ahmed","given":"S. S.U.","non-dropping-particle":"","parse-names":false,"suffix":""},{"dropping-particle":"","family":"Halim","given":"M. A.","non-dropping-particle":"","parse-names":false,"suffix":""}],"container-title":"University Journal of Zoology, Rajshahi University","id":"ITEM-1","issue":"January 2018","issued":{"date-parts":[["2011"]]},"page":"01-04","title":"Prevalence of diseases, morbidity and mortality of Black Bengal Goats under different management systems in Bangladesh","type":"article-journal","volume":"30"},"uris":["http://www.mendeley.com/documents/?uuid=716b779b-00d1-490b-87e4-41b94143ef7f"]}],"mendeley":{"formattedCitation":"(Kashem et al., 2011)","plainTextFormattedCitation":"(Kashem et al., 2011)","previouslyFormattedCitation":"(Kashem et al., 2011)"},"properties":{"noteIndex":0},"schema":"https://github.com/citation-style-language/schema/raw/master/csl-citation.json"}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(Kashem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2011)</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Diarrheal cases on the other hand, claims lives of many kids as it leads to severe dehydration and electrolyte imbalances as supported by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{"citationItems":[{"id":"ITEM-1","itemData":{"abstract":"Livestock in Ethiopia has been recognized as one of the most important sectors in subsistence agriculture in the quest to attain human food security and good welfare. Though the country has the largest inventory of livestock in the continent, production is severely affected for various reasons. A single visit survey was undertaken in July and August 2015 with the purpose of determining the annual mortality during June 2014 to June 2015 and investigating the major causes of young stock mortality under different livestock production settings. The study was undertaken in herds from mixed crop-livestock (n = 747), pastoral (n = 452), and peri-urban and urban dairy (n = 332) production systems. One-year retrospective data were collected from livestock owners by interview using semi-structured questionnaires and direct observation of farm practices. Participatory investigation techniques were applied to identify and prioritize causes of young stock mortality. In mixed crop-livestock production systems, mean annual mortality (birth-to-weaning) was reported in the range of 9.2–14% in calves, 14.9–33.5% in lambs, and 17.6–24% in kids. The pre-parturient loss in terms of abortion and stillbirth was 3.0–8.7% in cattle, 7.5–8% in lambs, and 9.3–14.4% in kids. The annual calf mortality in the urban and peri-urban dairy production system was reported in the range of 15.3–25%. The premature loss in terms of stillbirth was 6.2–14.4%. In the pastoral production system, the annual birth-to-weaning mortality of young stock was reported in the range of 26–29.2% in cattle, 32.5–35% in camel calves, and 35–36% in lambs and kids. The premature death (abortion and stillbirth) was 17.4– 21.2% in cattle, 23.4–48.8% in camels, and 25–41% in small ruminants. Age-specific mortality across the production systems declined with increased age, and the highest mortality was recorded during the first month of life extending up to the third month of age. Regardless of the production system, disease and malnutrition were the most important causes of mortality in young stock. Among the diseases, diarrhea and respiratory disorders were important causes of young stock mortality. Malpractices in young stock management were identified, including restricted colostrum and milk feeding, poor care and supplemental feeding, and poor health management. Livestock keepers appeared to be aware of the challenges of young stock, but seemed to have inadequate knowledge to deal with the challenges. Interven…","author":[{"dropping-particle":"","family":"Fentie","given":"Tsegaw","non-dropping-particle":"","parse-names":false,"suffix":""}],"id":"ITEM-1","issue":"February","issued":{"date-parts":[["2016"]]},"page":"44","title":"Assessment of Young Stock Mortality in Major Livestock Production Systems of Ethiopia","type":"article-journal"},"uris":["http://www.mendeley.com/documents/?uuid=c306e418-0f1e-46d7-8b42-8eac557376c9"]}],"mendeley":{"formattedCitation":"(Fentie, 2016)","plainTextFormattedCitation":"(Fentie, 2016)","previouslyFormattedCitation":"(Fentie, 2016)"},"properties":{"noteIndex":0},"schema":"https://github.com/citation-style-language/schema/raw/master/csl-citation.json"}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Fentie (2016)</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in Ethiopia,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author":[{"dropping-particle":"","family":"Sharif","given":"Labib","non-dropping-particle":"","parse-names":false,"suffix":""},{"dropping-particle":"","family":"Al-ani","given":"Falah","non-dropping-particle":"","parse-names":false,"suffix":""}],"container-title":"BJVM","id":"ITEM-1","issue":"October","issued":{"date-parts":[["2015"]]},"page":"100-108","title":"Risk factors for lamb and kid mortality in sheep and goat farms in Jordan RISK FACTORS FOR LAMB AND KID MORTALITY IN","type":"article-journal","volume":"8(2)"},"uris":["http://www.mendeley.com/documents/?uuid=61676682-1290-43d4-8140-282802c519e2"]}],"mendeley":{"formattedCitation":"(Sharif &amp; Al-ani, 2015)","plainTextFormattedCitation":"(Sharif &amp; Al-ani, 2015)","previouslyFormattedCitation":"(Sharif &amp; Al-ani, 2015)"},"properties":{"noteIndex":0},"schema":"https://github.com/citation-style-language/schema/raw/master/csl-citation.json"}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Sharif and Al-</w:t>
      </w:r>
      <w:r w:rsidRPr="00384232">
        <w:rPr>
          <w:rFonts w:ascii="Times New Roman" w:eastAsia="Times New Roman" w:hAnsi="Times New Roman"/>
          <w:noProof/>
          <w:sz w:val="24"/>
          <w:szCs w:val="24"/>
        </w:rPr>
        <w:t>ani (2015)</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in Jordan,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{"citationItems":[{"id":"ITEM-1","itemData":{"DOI":"10.1007/s11250-014-0630-5","ISBN":"1125001406305","ISSN":"15737438","PMID":"24993552","abstract":"Rearing of goats under communal farming conditions is characterised by high kid mortality and low weaning percentages. A survey was conducted to determine farmers’ perceptions on the causes of kid mortality during summer under the communal farming system in Nkonkobe Local Municipality in the Eastern Cape, South Africa. This was done by administering questionnaires to a total of 162 respondents in 14 villages around Nkonkobe Local Municipality. The study showed that majority of farmers (75 %) keep flock sizes of less than 10 goats and kids, and this indicates that goat production in Nkonkobe Local Municipality is suppressed. According to the farmers, diseases (89 %), endo-parasites (72 %) and ecto-parasites (68 %) were perceived as the major causes of kid mortality. Other causes reported include starvation (15 %), extreme weather conditions (28 %), abortion (7 %), theft (35 %), diarrhoea (43 %), accidents (10 %) and wounds (9 %). The low number of goats could be attributed to high mortalities. It was also found that all causes reported by farmers played a role in high kid mortality in Nkonkobe Local Municipality. However, the causes which require more emphasis to formulate extension support were tick-borne diseases and parasites. This study provided baseline information on possible causes of kid mortalities in Nkonkobe Local Municipality. There is, however, a need to conduct further studies to determine actual causes of high kid mortalities so as to develop preventive strategies that would minimize kid mortality for good economic returns.","author":[{"dropping-particle":"","family":"Slayi","given":"Mhlangabezi","non-dropping-particle":"","parse-names":false,"suffix":""},{"dropping-particle":"","family":"Maphosa","given":"Viola","non-dropping-particle":"","parse-names":false,"suffix":""},{"dropping-particle":"","family":"Fayemi","given":"Olutope Peter","non-dropping-particle":"","parse-names":false,"suffix":""},{"dropping-particle":"","family":"Mapfumo","given":"Lizwell","non-dropping-particle":"","parse-names":false,"suffix":""}],"container-title":"Tropical Animal Health and Production","id":"ITEM-1","issue":"7","issued":{"date-parts":[["2014"]]},"page":"1209-1215","title":"Farmers’ perceptions of goat kid mortality under communal farming in Eastern Cape, South Africa","type":"article-journal","volume":"46"},"uris":["http://www.mendeley.com/documents/?uuid=3322788c-b5a1-4832-833a-d95f8e730f5c"]}],"mendeley":{"formattedCitation":"(Slayi et al., 2014)","plainTextFormattedCitation":"(Slayi et al., 2014)","previouslyFormattedCitation":"(Slayi et al., 2014)"},"properties":{"noteIndex":0},"schema":"https://github.com/citation-style-language/schema/raw/master/csl-citation.json"}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Slayi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(2014)</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in south Africa. Anthrax, although less common, is a highly fatal disease that can affect the survival of kids. </w:t>
      </w:r>
      <w:r w:rsidRPr="00384232">
        <w:rPr>
          <w:rFonts w:ascii="Times New Roman" w:eastAsia="Times New Roman" w:hAnsi="Times New Roman"/>
          <w:sz w:val="24"/>
          <w:szCs w:val="24"/>
          <w:shd w:val="clear" w:color="auto" w:fill="FFFFFF"/>
        </w:rPr>
        <w:t>On the other hand, ectoparasite infestation, caused by external parasites such as ticks and lice, can cause skin irritation, anemia, and reduced growth rates in goats and kids.</w:t>
      </w:r>
    </w:p>
    <w:p w14:paraId="6F4330F2"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p>
    <w:p w14:paraId="7FB9B0D1" w14:textId="77777777" w:rsidR="00742C01" w:rsidRPr="00384232" w:rsidRDefault="00742C01" w:rsidP="00384232">
      <w:pPr>
        <w:widowControl w:val="0"/>
        <w:autoSpaceDE w:val="0"/>
        <w:autoSpaceDN w:val="0"/>
        <w:rPr>
          <w:rFonts w:ascii="Times New Roman" w:eastAsia="Times New Roman" w:hAnsi="Times New Roman"/>
          <w:b/>
          <w:bCs/>
          <w:sz w:val="24"/>
          <w:szCs w:val="24"/>
        </w:rPr>
      </w:pPr>
      <w:r w:rsidRPr="00384232">
        <w:rPr>
          <w:rFonts w:ascii="Times New Roman" w:eastAsia="Times New Roman" w:hAnsi="Times New Roman"/>
          <w:b/>
          <w:bCs/>
          <w:sz w:val="24"/>
          <w:szCs w:val="24"/>
        </w:rPr>
        <w:t>Association of Risk Factors with Incidence of Diseases and Mortality</w:t>
      </w:r>
    </w:p>
    <w:p w14:paraId="11C13A57"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r w:rsidRPr="00384232">
        <w:rPr>
          <w:rFonts w:ascii="Times New Roman" w:eastAsia="Times New Roman" w:hAnsi="Times New Roman"/>
          <w:sz w:val="24"/>
          <w:szCs w:val="24"/>
        </w:rPr>
        <w:t>A logistic regression model was fitted with a likelihood ratio test.  The p-value from the likelihood ratio test was found to be significant at 0.05, suggesting that the logistic regression model significantly improved the fit compared to a null model. The ROC analysis further confirmed the model's predictive power, as an AUC value of 0.85 is considered quite high and indicates a strong ability to discriminate between positive and negative outcomes. Furthermore, the analysis revealed a statistically significant relationship between some predictor variables and the outcome variable (Figure 2).</w:t>
      </w:r>
    </w:p>
    <w:p w14:paraId="3BC25154"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num="2" w:space="720"/>
          <w:docGrid w:linePitch="360"/>
        </w:sectPr>
      </w:pPr>
    </w:p>
    <w:p w14:paraId="3CE7CB2F" w14:textId="58BBE80E"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noProof/>
          <w:sz w:val="24"/>
          <w:szCs w:val="24"/>
          <w:lang w:val="en-US" w:eastAsia="en-US"/>
        </w:rPr>
        <w:lastRenderedPageBreak/>
        <w:drawing>
          <wp:inline distT="0" distB="0" distL="0" distR="0" wp14:anchorId="161B4607" wp14:editId="2F5A4B04">
            <wp:extent cx="4741921" cy="3028207"/>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488" cy="3031762"/>
                    </a:xfrm>
                    <a:prstGeom prst="rect">
                      <a:avLst/>
                    </a:prstGeom>
                    <a:noFill/>
                    <a:ln>
                      <a:noFill/>
                    </a:ln>
                  </pic:spPr>
                </pic:pic>
              </a:graphicData>
            </a:graphic>
          </wp:inline>
        </w:drawing>
      </w:r>
    </w:p>
    <w:p w14:paraId="236AB107"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Figure 2: The area under the receiver-operating curve depicting the models AUC value of the model</w:t>
      </w:r>
    </w:p>
    <w:p w14:paraId="4F16230C" w14:textId="77777777" w:rsidR="00742C01" w:rsidRPr="00384232" w:rsidRDefault="00742C01" w:rsidP="00384232">
      <w:pPr>
        <w:widowControl w:val="0"/>
        <w:autoSpaceDE w:val="0"/>
        <w:autoSpaceDN w:val="0"/>
        <w:rPr>
          <w:rFonts w:ascii="Times New Roman" w:eastAsia="Times New Roman" w:hAnsi="Times New Roman"/>
          <w:bCs/>
          <w:sz w:val="24"/>
          <w:szCs w:val="24"/>
        </w:rPr>
      </w:pPr>
    </w:p>
    <w:p w14:paraId="0AE67745"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space="720"/>
          <w:docGrid w:linePitch="360"/>
        </w:sectPr>
      </w:pPr>
    </w:p>
    <w:p w14:paraId="1F4B6478" w14:textId="28B6E11A"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The logistic model output indicated that the year and season of birth, parity of the dam, and colostrum intake immediately after birth had a significant association with disease occurrence (P &lt; 0.05). The study found that kids born in December (P = 0.00), March (P = 0.006), August (P = 0.017), November (P = 0.00), and July (P = 0.006) had a significantly higher rate of being diseased than the reference month of April (Table 1). On the other hand, kids born in October, February, and September had higher odds of being healthy than the reference month of April, indicating a possible connection between birth month and overall health outcomes. Overall, significant diseases occurrence was observed in autumn (November and December) followed by winter (January and March), and summer season (July, August and September) (Table 1). This could be attributed due to higher proportion of the study animals give birth from late September to December. This finding was in contrast with the previous report of more diseases incidence occurrence noted in winter season followed by spring, autumn and summer, respectively </w:t>
      </w:r>
      <w:r w:rsidRPr="00384232">
        <w:rPr>
          <w:rFonts w:ascii="Times New Roman" w:eastAsia="Times New Roman" w:hAnsi="Times New Roman"/>
          <w:sz w:val="24"/>
          <w:szCs w:val="24"/>
          <w:vertAlign w:val="superscript"/>
        </w:rPr>
        <w:fldChar w:fldCharType="begin" w:fldLock="1"/>
      </w:r>
      <w:r w:rsidRPr="00384232">
        <w:rPr>
          <w:rFonts w:ascii="Times New Roman" w:eastAsia="Times New Roman" w:hAnsi="Times New Roman"/>
          <w:sz w:val="24"/>
          <w:szCs w:val="24"/>
        </w:rPr>
        <w:instrText>ADDIN CSL_CITATION {"citationItems":[{"id":"ITEM-1","itemData":{"DOI":"10.5829/idosi.gv.2017.168.177","abstract":"The user has requested enhancement of the downloaded file.","author":[{"dropping-particle":"","family":"Tifashe","given":"Merkine","non-dropping-particle":"","parse-names":false,"suffix":""},{"dropping-particle":"","family":"Hassan","given":"Ahamed","non-dropping-particle":"","parse-names":false,"suffix":""},{"dropping-particle":"","family":"Herago","given":"Tamirat","non-dropping-particle":"","parse-names":false,"suffix":""},{"dropping-particle":"","family":"Tesfamariam","given":"Gebregeorgis","non-dropping-particle":"","parse-names":false,"suffix":""}],"container-title":"Global Veterinaria","id":"ITEM-1","issue":"3","issued":{"date-parts":[["2017"]]},"page":"168-177","title":"Analysis of Morbidity and Mortality of Sheep and Goat in Wolaita Soddo Zuria District, Southern Ethiopia","type":"article-journal","volume":"18"},"uris":["http://www.mendeley.com/documents/?uuid=f4b42ef0-4c05-4a9e-a0d0-2c2a478d8b32"]}],"mendeley":{"formattedCitation":"(Tifashe et al., 2017)","plainTextFormattedCitation":"(Tifashe et al., 2017)","previouslyFormattedCitation":"(Tifashe et al., 2017)"},"properties":{"noteIndex":0},"schema":"https://github.com/citation-style-language/schema/raw/master/csl-citation.json"}</w:instrText>
      </w:r>
      <w:r w:rsidRPr="00384232">
        <w:rPr>
          <w:rFonts w:ascii="Times New Roman" w:eastAsia="Times New Roman" w:hAnsi="Times New Roman"/>
          <w:sz w:val="24"/>
          <w:szCs w:val="24"/>
          <w:vertAlign w:val="superscript"/>
        </w:rPr>
        <w:fldChar w:fldCharType="separate"/>
      </w:r>
      <w:r w:rsidRPr="00384232">
        <w:rPr>
          <w:rFonts w:ascii="Times New Roman" w:eastAsia="Times New Roman" w:hAnsi="Times New Roman"/>
          <w:noProof/>
          <w:sz w:val="24"/>
          <w:szCs w:val="24"/>
        </w:rPr>
        <w:t xml:space="preserve">(Tifashe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2017)</w:t>
      </w:r>
      <w:r w:rsidRPr="00384232">
        <w:rPr>
          <w:rFonts w:ascii="Times New Roman" w:eastAsia="Times New Roman" w:hAnsi="Times New Roman"/>
          <w:sz w:val="24"/>
          <w:szCs w:val="24"/>
          <w:vertAlign w:val="superscript"/>
        </w:rPr>
        <w:fldChar w:fldCharType="end"/>
      </w:r>
      <w:r w:rsidRPr="00384232">
        <w:rPr>
          <w:rFonts w:ascii="Times New Roman" w:eastAsia="Times New Roman" w:hAnsi="Times New Roman"/>
          <w:sz w:val="24"/>
          <w:szCs w:val="24"/>
        </w:rPr>
        <w:t xml:space="preserve">. </w:t>
      </w:r>
    </w:p>
    <w:p w14:paraId="2A5A12A8"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5C8A804F"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Furthermore, it is plausible that the occurrence of diseases varied depending on geographical location and climatic conditions. In regions with colder temperatures and harsh winters, it was common to see an increase in diseases during the winter months. Conversely, in areas with milder winters and hotter summers, the occurrence of diseases peaked during the summer season. These discrepancies highlight the importance of considering regional factors when studying disease patterns and developing appropriate prevention and treatment strategies. Additionally, the model showed that dams with a parity 4 (P=0.031) had a higher risk of their offspring developing diseases. Moreover, the study highlighted that colostrum intake immediately after birth played a crucial role in disease occurrence, with kids who received adequate colostrum having lower chances of falling ill. These findings emphasize the importance of considering birth season, dam parity, and colostrum intake in disease prevention strategies for newborn kids.</w:t>
      </w:r>
    </w:p>
    <w:p w14:paraId="59975084"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num="2" w:space="720"/>
          <w:docGrid w:linePitch="360"/>
        </w:sectPr>
      </w:pPr>
    </w:p>
    <w:p w14:paraId="48694944" w14:textId="467A36DB" w:rsidR="00742C01" w:rsidRPr="00384232" w:rsidRDefault="00742C01" w:rsidP="00384232">
      <w:pPr>
        <w:widowControl w:val="0"/>
        <w:autoSpaceDE w:val="0"/>
        <w:autoSpaceDN w:val="0"/>
        <w:rPr>
          <w:rFonts w:ascii="Times New Roman" w:eastAsia="Times New Roman" w:hAnsi="Times New Roman"/>
          <w:sz w:val="24"/>
          <w:szCs w:val="24"/>
        </w:rPr>
      </w:pPr>
    </w:p>
    <w:p w14:paraId="0A2C8521"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b/>
          <w:sz w:val="24"/>
          <w:szCs w:val="24"/>
        </w:rPr>
        <w:lastRenderedPageBreak/>
        <w:t>Table 1:</w:t>
      </w:r>
      <w:r w:rsidRPr="00384232">
        <w:rPr>
          <w:rFonts w:ascii="Times New Roman" w:eastAsia="Times New Roman" w:hAnsi="Times New Roman"/>
          <w:bCs/>
          <w:sz w:val="24"/>
          <w:szCs w:val="24"/>
        </w:rPr>
        <w:t xml:space="preserve"> Regression vs chi square Risk factor analysis for incidence of occurrence of diseases</w:t>
      </w:r>
    </w:p>
    <w:tbl>
      <w:tblPr>
        <w:tblW w:w="7840" w:type="dxa"/>
        <w:tblLook w:val="04A0" w:firstRow="1" w:lastRow="0" w:firstColumn="1" w:lastColumn="0" w:noHBand="0" w:noVBand="1"/>
      </w:tblPr>
      <w:tblGrid>
        <w:gridCol w:w="2141"/>
        <w:gridCol w:w="1293"/>
        <w:gridCol w:w="2035"/>
        <w:gridCol w:w="943"/>
        <w:gridCol w:w="1428"/>
      </w:tblGrid>
      <w:tr w:rsidR="00742C01" w:rsidRPr="00384232" w14:paraId="61C0A75A" w14:textId="77777777" w:rsidTr="001E4364">
        <w:trPr>
          <w:trHeight w:val="60"/>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C0B24"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 xml:space="preserve">Factors </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28446136"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 xml:space="preserve">Category </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2521521"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AOR (95% CI)</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02017BE4" w14:textId="77777777" w:rsidR="00742C01" w:rsidRPr="00384232" w:rsidRDefault="00742C01" w:rsidP="00384232">
            <w:pPr>
              <w:rPr>
                <w:rFonts w:ascii="Times New Roman" w:eastAsia="Times New Roman" w:hAnsi="Times New Roman"/>
                <w:b/>
                <w:bCs/>
                <w:i/>
                <w:iCs/>
                <w:color w:val="000000"/>
                <w:sz w:val="24"/>
                <w:szCs w:val="24"/>
              </w:rPr>
            </w:pPr>
            <w:r w:rsidRPr="00384232">
              <w:rPr>
                <w:rFonts w:ascii="Times New Roman" w:eastAsia="Times New Roman" w:hAnsi="Times New Roman"/>
                <w:b/>
                <w:bCs/>
                <w:i/>
                <w:iCs/>
                <w:color w:val="000000"/>
                <w:sz w:val="24"/>
                <w:szCs w:val="24"/>
              </w:rPr>
              <w:t>X</w:t>
            </w:r>
            <w:r w:rsidRPr="00384232">
              <w:rPr>
                <w:rFonts w:ascii="Times New Roman" w:eastAsia="Times New Roman" w:hAnsi="Times New Roman"/>
                <w:b/>
                <w:bCs/>
                <w:i/>
                <w:iCs/>
                <w:color w:val="000000"/>
                <w:sz w:val="24"/>
                <w:szCs w:val="24"/>
                <w:vertAlign w:val="superscript"/>
              </w:rPr>
              <w:t>2</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0DFA98B2"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 xml:space="preserve">p-value </w:t>
            </w:r>
          </w:p>
        </w:tc>
      </w:tr>
      <w:tr w:rsidR="00742C01" w:rsidRPr="00384232" w14:paraId="5A09BF64" w14:textId="77777777" w:rsidTr="001E4364">
        <w:trPr>
          <w:trHeight w:val="315"/>
        </w:trPr>
        <w:tc>
          <w:tcPr>
            <w:tcW w:w="2141" w:type="dxa"/>
            <w:vMerge w:val="restart"/>
            <w:tcBorders>
              <w:top w:val="nil"/>
              <w:left w:val="single" w:sz="4" w:space="0" w:color="auto"/>
              <w:bottom w:val="single" w:sz="4" w:space="0" w:color="auto"/>
              <w:right w:val="single" w:sz="4" w:space="0" w:color="auto"/>
            </w:tcBorders>
            <w:shd w:val="clear" w:color="auto" w:fill="auto"/>
            <w:vAlign w:val="center"/>
            <w:hideMark/>
          </w:tcPr>
          <w:p w14:paraId="36E10B8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Date of birth </w:t>
            </w:r>
          </w:p>
        </w:tc>
        <w:tc>
          <w:tcPr>
            <w:tcW w:w="1293" w:type="dxa"/>
            <w:tcBorders>
              <w:top w:val="nil"/>
              <w:left w:val="nil"/>
              <w:bottom w:val="single" w:sz="4" w:space="0" w:color="auto"/>
              <w:right w:val="single" w:sz="4" w:space="0" w:color="auto"/>
            </w:tcBorders>
            <w:shd w:val="clear" w:color="auto" w:fill="auto"/>
            <w:vAlign w:val="center"/>
            <w:hideMark/>
          </w:tcPr>
          <w:p w14:paraId="7283053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April</w:t>
            </w:r>
          </w:p>
        </w:tc>
        <w:tc>
          <w:tcPr>
            <w:tcW w:w="2035" w:type="dxa"/>
            <w:tcBorders>
              <w:top w:val="nil"/>
              <w:left w:val="nil"/>
              <w:bottom w:val="single" w:sz="4" w:space="0" w:color="auto"/>
              <w:right w:val="single" w:sz="4" w:space="0" w:color="auto"/>
            </w:tcBorders>
            <w:shd w:val="clear" w:color="auto" w:fill="auto"/>
            <w:vAlign w:val="center"/>
            <w:hideMark/>
          </w:tcPr>
          <w:p w14:paraId="276CE9E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943" w:type="dxa"/>
            <w:tcBorders>
              <w:top w:val="nil"/>
              <w:left w:val="nil"/>
              <w:bottom w:val="single" w:sz="4" w:space="0" w:color="auto"/>
              <w:right w:val="single" w:sz="4" w:space="0" w:color="auto"/>
            </w:tcBorders>
            <w:shd w:val="clear" w:color="auto" w:fill="auto"/>
            <w:vAlign w:val="center"/>
            <w:hideMark/>
          </w:tcPr>
          <w:p w14:paraId="1855F63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111.31</w:t>
            </w:r>
          </w:p>
        </w:tc>
        <w:tc>
          <w:tcPr>
            <w:tcW w:w="1428" w:type="dxa"/>
            <w:tcBorders>
              <w:top w:val="nil"/>
              <w:left w:val="nil"/>
              <w:bottom w:val="single" w:sz="4" w:space="0" w:color="auto"/>
              <w:right w:val="single" w:sz="4" w:space="0" w:color="auto"/>
            </w:tcBorders>
            <w:shd w:val="clear" w:color="auto" w:fill="auto"/>
            <w:vAlign w:val="center"/>
            <w:hideMark/>
          </w:tcPr>
          <w:p w14:paraId="34D4929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77632658"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4300532B"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7E836B6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August</w:t>
            </w:r>
          </w:p>
        </w:tc>
        <w:tc>
          <w:tcPr>
            <w:tcW w:w="2035" w:type="dxa"/>
            <w:tcBorders>
              <w:top w:val="nil"/>
              <w:left w:val="nil"/>
              <w:bottom w:val="single" w:sz="4" w:space="0" w:color="auto"/>
              <w:right w:val="single" w:sz="4" w:space="0" w:color="auto"/>
            </w:tcBorders>
            <w:shd w:val="clear" w:color="auto" w:fill="auto"/>
            <w:vAlign w:val="center"/>
            <w:hideMark/>
          </w:tcPr>
          <w:p w14:paraId="12BCB6B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0.3(0.09-0.8)</w:t>
            </w:r>
          </w:p>
        </w:tc>
        <w:tc>
          <w:tcPr>
            <w:tcW w:w="943" w:type="dxa"/>
            <w:tcBorders>
              <w:top w:val="nil"/>
              <w:left w:val="nil"/>
              <w:bottom w:val="single" w:sz="4" w:space="0" w:color="auto"/>
              <w:right w:val="single" w:sz="4" w:space="0" w:color="auto"/>
            </w:tcBorders>
            <w:shd w:val="clear" w:color="auto" w:fill="auto"/>
            <w:vAlign w:val="center"/>
            <w:hideMark/>
          </w:tcPr>
          <w:p w14:paraId="6CB9A7C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296734D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0.017*</w:t>
            </w:r>
          </w:p>
        </w:tc>
      </w:tr>
      <w:tr w:rsidR="00742C01" w:rsidRPr="00384232" w14:paraId="716890A8" w14:textId="77777777" w:rsidTr="001E4364">
        <w:trPr>
          <w:trHeight w:val="630"/>
        </w:trPr>
        <w:tc>
          <w:tcPr>
            <w:tcW w:w="2141" w:type="dxa"/>
            <w:vMerge/>
            <w:tcBorders>
              <w:top w:val="nil"/>
              <w:left w:val="single" w:sz="4" w:space="0" w:color="auto"/>
              <w:bottom w:val="single" w:sz="4" w:space="0" w:color="auto"/>
              <w:right w:val="single" w:sz="4" w:space="0" w:color="auto"/>
            </w:tcBorders>
            <w:vAlign w:val="center"/>
            <w:hideMark/>
          </w:tcPr>
          <w:p w14:paraId="31C3030B"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2158874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December </w:t>
            </w:r>
          </w:p>
        </w:tc>
        <w:tc>
          <w:tcPr>
            <w:tcW w:w="2035" w:type="dxa"/>
            <w:tcBorders>
              <w:top w:val="nil"/>
              <w:left w:val="nil"/>
              <w:bottom w:val="single" w:sz="4" w:space="0" w:color="auto"/>
              <w:right w:val="single" w:sz="4" w:space="0" w:color="auto"/>
            </w:tcBorders>
            <w:shd w:val="clear" w:color="auto" w:fill="auto"/>
            <w:vAlign w:val="center"/>
            <w:hideMark/>
          </w:tcPr>
          <w:p w14:paraId="5C497C5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0.06(0.02-0.2)</w:t>
            </w:r>
          </w:p>
        </w:tc>
        <w:tc>
          <w:tcPr>
            <w:tcW w:w="943" w:type="dxa"/>
            <w:tcBorders>
              <w:top w:val="nil"/>
              <w:left w:val="nil"/>
              <w:bottom w:val="single" w:sz="4" w:space="0" w:color="auto"/>
              <w:right w:val="single" w:sz="4" w:space="0" w:color="auto"/>
            </w:tcBorders>
            <w:shd w:val="clear" w:color="auto" w:fill="auto"/>
            <w:vAlign w:val="center"/>
            <w:hideMark/>
          </w:tcPr>
          <w:p w14:paraId="0A32EFA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F20339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0.000***</w:t>
            </w:r>
          </w:p>
        </w:tc>
      </w:tr>
      <w:tr w:rsidR="00742C01" w:rsidRPr="00384232" w14:paraId="507DF955"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53826495"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4C59830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February </w:t>
            </w:r>
          </w:p>
        </w:tc>
        <w:tc>
          <w:tcPr>
            <w:tcW w:w="2035" w:type="dxa"/>
            <w:tcBorders>
              <w:top w:val="nil"/>
              <w:left w:val="nil"/>
              <w:bottom w:val="single" w:sz="4" w:space="0" w:color="auto"/>
              <w:right w:val="single" w:sz="4" w:space="0" w:color="auto"/>
            </w:tcBorders>
            <w:shd w:val="clear" w:color="auto" w:fill="auto"/>
            <w:vAlign w:val="center"/>
            <w:hideMark/>
          </w:tcPr>
          <w:p w14:paraId="210416F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0.25(0.04-1.5)</w:t>
            </w:r>
          </w:p>
        </w:tc>
        <w:tc>
          <w:tcPr>
            <w:tcW w:w="943" w:type="dxa"/>
            <w:tcBorders>
              <w:top w:val="nil"/>
              <w:left w:val="nil"/>
              <w:bottom w:val="single" w:sz="4" w:space="0" w:color="auto"/>
              <w:right w:val="single" w:sz="4" w:space="0" w:color="auto"/>
            </w:tcBorders>
            <w:shd w:val="clear" w:color="auto" w:fill="auto"/>
            <w:vAlign w:val="center"/>
            <w:hideMark/>
          </w:tcPr>
          <w:p w14:paraId="34F17B1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2F0AE84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0.131</w:t>
            </w:r>
          </w:p>
        </w:tc>
      </w:tr>
      <w:tr w:rsidR="00742C01" w:rsidRPr="00384232" w14:paraId="3BC6DFA4"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0BD3104B"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3B24BBA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January </w:t>
            </w:r>
          </w:p>
        </w:tc>
        <w:tc>
          <w:tcPr>
            <w:tcW w:w="2035" w:type="dxa"/>
            <w:tcBorders>
              <w:top w:val="nil"/>
              <w:left w:val="nil"/>
              <w:bottom w:val="single" w:sz="4" w:space="0" w:color="auto"/>
              <w:right w:val="single" w:sz="4" w:space="0" w:color="auto"/>
            </w:tcBorders>
            <w:shd w:val="clear" w:color="auto" w:fill="auto"/>
            <w:vAlign w:val="center"/>
            <w:hideMark/>
          </w:tcPr>
          <w:p w14:paraId="0B3ED3A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0.2(0.08-0.6)</w:t>
            </w:r>
          </w:p>
        </w:tc>
        <w:tc>
          <w:tcPr>
            <w:tcW w:w="943" w:type="dxa"/>
            <w:tcBorders>
              <w:top w:val="nil"/>
              <w:left w:val="nil"/>
              <w:bottom w:val="single" w:sz="4" w:space="0" w:color="auto"/>
              <w:right w:val="single" w:sz="4" w:space="0" w:color="auto"/>
            </w:tcBorders>
            <w:shd w:val="clear" w:color="auto" w:fill="auto"/>
            <w:vAlign w:val="center"/>
            <w:hideMark/>
          </w:tcPr>
          <w:p w14:paraId="044B529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8AB396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0.006**</w:t>
            </w:r>
          </w:p>
        </w:tc>
      </w:tr>
      <w:tr w:rsidR="00742C01" w:rsidRPr="00384232" w14:paraId="44DA4D4C"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577E76A3"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299A1FD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July</w:t>
            </w:r>
          </w:p>
        </w:tc>
        <w:tc>
          <w:tcPr>
            <w:tcW w:w="2035" w:type="dxa"/>
            <w:tcBorders>
              <w:top w:val="nil"/>
              <w:left w:val="nil"/>
              <w:bottom w:val="single" w:sz="4" w:space="0" w:color="auto"/>
              <w:right w:val="single" w:sz="4" w:space="0" w:color="auto"/>
            </w:tcBorders>
            <w:shd w:val="clear" w:color="auto" w:fill="auto"/>
            <w:vAlign w:val="center"/>
            <w:hideMark/>
          </w:tcPr>
          <w:p w14:paraId="18C324D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0.3(0.13-0.7)</w:t>
            </w:r>
          </w:p>
        </w:tc>
        <w:tc>
          <w:tcPr>
            <w:tcW w:w="943" w:type="dxa"/>
            <w:tcBorders>
              <w:top w:val="nil"/>
              <w:left w:val="nil"/>
              <w:bottom w:val="single" w:sz="4" w:space="0" w:color="auto"/>
              <w:right w:val="single" w:sz="4" w:space="0" w:color="auto"/>
            </w:tcBorders>
            <w:shd w:val="clear" w:color="auto" w:fill="auto"/>
            <w:vAlign w:val="center"/>
            <w:hideMark/>
          </w:tcPr>
          <w:p w14:paraId="1168068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ECEF6A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0.006**</w:t>
            </w:r>
          </w:p>
        </w:tc>
      </w:tr>
      <w:tr w:rsidR="00742C01" w:rsidRPr="00384232" w14:paraId="084E7127"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05D43F85"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3A957BC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March </w:t>
            </w:r>
          </w:p>
        </w:tc>
        <w:tc>
          <w:tcPr>
            <w:tcW w:w="2035" w:type="dxa"/>
            <w:tcBorders>
              <w:top w:val="nil"/>
              <w:left w:val="nil"/>
              <w:bottom w:val="single" w:sz="4" w:space="0" w:color="auto"/>
              <w:right w:val="single" w:sz="4" w:space="0" w:color="auto"/>
            </w:tcBorders>
            <w:shd w:val="clear" w:color="auto" w:fill="auto"/>
            <w:vAlign w:val="center"/>
            <w:hideMark/>
          </w:tcPr>
          <w:p w14:paraId="13BB40F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0.2(0.05-0.6)</w:t>
            </w:r>
          </w:p>
        </w:tc>
        <w:tc>
          <w:tcPr>
            <w:tcW w:w="943" w:type="dxa"/>
            <w:tcBorders>
              <w:top w:val="nil"/>
              <w:left w:val="nil"/>
              <w:bottom w:val="single" w:sz="4" w:space="0" w:color="auto"/>
              <w:right w:val="single" w:sz="4" w:space="0" w:color="auto"/>
            </w:tcBorders>
            <w:shd w:val="clear" w:color="auto" w:fill="auto"/>
            <w:vAlign w:val="center"/>
            <w:hideMark/>
          </w:tcPr>
          <w:p w14:paraId="11B70C6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3662D33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0.004**</w:t>
            </w:r>
          </w:p>
        </w:tc>
      </w:tr>
      <w:tr w:rsidR="00742C01" w:rsidRPr="00384232" w14:paraId="6679BA5C" w14:textId="77777777" w:rsidTr="001E4364">
        <w:trPr>
          <w:trHeight w:val="60"/>
        </w:trPr>
        <w:tc>
          <w:tcPr>
            <w:tcW w:w="2141" w:type="dxa"/>
            <w:vMerge/>
            <w:tcBorders>
              <w:top w:val="nil"/>
              <w:left w:val="single" w:sz="4" w:space="0" w:color="auto"/>
              <w:bottom w:val="single" w:sz="4" w:space="0" w:color="auto"/>
              <w:right w:val="single" w:sz="4" w:space="0" w:color="auto"/>
            </w:tcBorders>
            <w:vAlign w:val="center"/>
            <w:hideMark/>
          </w:tcPr>
          <w:p w14:paraId="44579C2A"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700EDD8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November</w:t>
            </w:r>
          </w:p>
        </w:tc>
        <w:tc>
          <w:tcPr>
            <w:tcW w:w="2035" w:type="dxa"/>
            <w:tcBorders>
              <w:top w:val="nil"/>
              <w:left w:val="nil"/>
              <w:bottom w:val="single" w:sz="4" w:space="0" w:color="auto"/>
              <w:right w:val="single" w:sz="4" w:space="0" w:color="auto"/>
            </w:tcBorders>
            <w:shd w:val="clear" w:color="auto" w:fill="auto"/>
            <w:vAlign w:val="center"/>
            <w:hideMark/>
          </w:tcPr>
          <w:p w14:paraId="0555A84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0.22(0.09-0.5)</w:t>
            </w:r>
          </w:p>
        </w:tc>
        <w:tc>
          <w:tcPr>
            <w:tcW w:w="943" w:type="dxa"/>
            <w:tcBorders>
              <w:top w:val="nil"/>
              <w:left w:val="nil"/>
              <w:bottom w:val="single" w:sz="4" w:space="0" w:color="auto"/>
              <w:right w:val="single" w:sz="4" w:space="0" w:color="auto"/>
            </w:tcBorders>
            <w:shd w:val="clear" w:color="auto" w:fill="auto"/>
            <w:vAlign w:val="center"/>
            <w:hideMark/>
          </w:tcPr>
          <w:p w14:paraId="4225D85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40E9DAB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5455801C"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66EF479E"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049B5D5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October</w:t>
            </w:r>
          </w:p>
        </w:tc>
        <w:tc>
          <w:tcPr>
            <w:tcW w:w="2035" w:type="dxa"/>
            <w:tcBorders>
              <w:top w:val="nil"/>
              <w:left w:val="nil"/>
              <w:bottom w:val="single" w:sz="4" w:space="0" w:color="auto"/>
              <w:right w:val="single" w:sz="4" w:space="0" w:color="auto"/>
            </w:tcBorders>
            <w:shd w:val="clear" w:color="auto" w:fill="auto"/>
            <w:vAlign w:val="center"/>
            <w:hideMark/>
          </w:tcPr>
          <w:p w14:paraId="57582CB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1.2(0.47-3.4)</w:t>
            </w:r>
          </w:p>
        </w:tc>
        <w:tc>
          <w:tcPr>
            <w:tcW w:w="943" w:type="dxa"/>
            <w:tcBorders>
              <w:top w:val="nil"/>
              <w:left w:val="nil"/>
              <w:bottom w:val="single" w:sz="4" w:space="0" w:color="auto"/>
              <w:right w:val="single" w:sz="4" w:space="0" w:color="auto"/>
            </w:tcBorders>
            <w:shd w:val="clear" w:color="auto" w:fill="auto"/>
            <w:vAlign w:val="center"/>
            <w:hideMark/>
          </w:tcPr>
          <w:p w14:paraId="6CB75F9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1DADCC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0.63</w:t>
            </w:r>
          </w:p>
        </w:tc>
      </w:tr>
      <w:tr w:rsidR="00742C01" w:rsidRPr="00384232" w14:paraId="4B9BB20B" w14:textId="77777777" w:rsidTr="001E4364">
        <w:trPr>
          <w:trHeight w:val="60"/>
        </w:trPr>
        <w:tc>
          <w:tcPr>
            <w:tcW w:w="2141" w:type="dxa"/>
            <w:vMerge/>
            <w:tcBorders>
              <w:top w:val="nil"/>
              <w:left w:val="single" w:sz="4" w:space="0" w:color="auto"/>
              <w:bottom w:val="single" w:sz="4" w:space="0" w:color="auto"/>
              <w:right w:val="single" w:sz="4" w:space="0" w:color="auto"/>
            </w:tcBorders>
            <w:vAlign w:val="center"/>
            <w:hideMark/>
          </w:tcPr>
          <w:p w14:paraId="6F2091A1"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4F7FB71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September</w:t>
            </w:r>
          </w:p>
        </w:tc>
        <w:tc>
          <w:tcPr>
            <w:tcW w:w="2035" w:type="dxa"/>
            <w:tcBorders>
              <w:top w:val="nil"/>
              <w:left w:val="nil"/>
              <w:bottom w:val="single" w:sz="4" w:space="0" w:color="auto"/>
              <w:right w:val="single" w:sz="4" w:space="0" w:color="auto"/>
            </w:tcBorders>
            <w:shd w:val="clear" w:color="auto" w:fill="auto"/>
            <w:vAlign w:val="center"/>
            <w:hideMark/>
          </w:tcPr>
          <w:p w14:paraId="719EB81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0.8(0.34-2.2)</w:t>
            </w:r>
          </w:p>
        </w:tc>
        <w:tc>
          <w:tcPr>
            <w:tcW w:w="943" w:type="dxa"/>
            <w:tcBorders>
              <w:top w:val="nil"/>
              <w:left w:val="nil"/>
              <w:bottom w:val="single" w:sz="4" w:space="0" w:color="auto"/>
              <w:right w:val="single" w:sz="4" w:space="0" w:color="auto"/>
            </w:tcBorders>
            <w:shd w:val="clear" w:color="auto" w:fill="auto"/>
            <w:vAlign w:val="center"/>
            <w:hideMark/>
          </w:tcPr>
          <w:p w14:paraId="7109AEB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1B8154B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0.764</w:t>
            </w:r>
          </w:p>
        </w:tc>
      </w:tr>
      <w:tr w:rsidR="00742C01" w:rsidRPr="00384232" w14:paraId="50C61814" w14:textId="77777777" w:rsidTr="001E4364">
        <w:trPr>
          <w:trHeight w:val="315"/>
        </w:trPr>
        <w:tc>
          <w:tcPr>
            <w:tcW w:w="2141" w:type="dxa"/>
            <w:vMerge w:val="restart"/>
            <w:tcBorders>
              <w:top w:val="nil"/>
              <w:left w:val="single" w:sz="4" w:space="0" w:color="auto"/>
              <w:bottom w:val="single" w:sz="4" w:space="0" w:color="auto"/>
              <w:right w:val="single" w:sz="4" w:space="0" w:color="auto"/>
            </w:tcBorders>
            <w:shd w:val="clear" w:color="auto" w:fill="auto"/>
            <w:vAlign w:val="center"/>
            <w:hideMark/>
          </w:tcPr>
          <w:p w14:paraId="2F0A275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Year </w:t>
            </w:r>
          </w:p>
        </w:tc>
        <w:tc>
          <w:tcPr>
            <w:tcW w:w="1293" w:type="dxa"/>
            <w:tcBorders>
              <w:top w:val="nil"/>
              <w:left w:val="nil"/>
              <w:bottom w:val="single" w:sz="4" w:space="0" w:color="auto"/>
              <w:right w:val="single" w:sz="4" w:space="0" w:color="auto"/>
            </w:tcBorders>
            <w:shd w:val="clear" w:color="auto" w:fill="auto"/>
            <w:vAlign w:val="center"/>
            <w:hideMark/>
          </w:tcPr>
          <w:p w14:paraId="3394ECA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2017</w:t>
            </w:r>
          </w:p>
        </w:tc>
        <w:tc>
          <w:tcPr>
            <w:tcW w:w="2035" w:type="dxa"/>
            <w:tcBorders>
              <w:top w:val="nil"/>
              <w:left w:val="nil"/>
              <w:bottom w:val="single" w:sz="4" w:space="0" w:color="auto"/>
              <w:right w:val="single" w:sz="4" w:space="0" w:color="auto"/>
            </w:tcBorders>
            <w:shd w:val="clear" w:color="auto" w:fill="auto"/>
            <w:vAlign w:val="center"/>
            <w:hideMark/>
          </w:tcPr>
          <w:p w14:paraId="7348BD8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943" w:type="dxa"/>
            <w:tcBorders>
              <w:top w:val="nil"/>
              <w:left w:val="nil"/>
              <w:bottom w:val="single" w:sz="4" w:space="0" w:color="auto"/>
              <w:right w:val="single" w:sz="4" w:space="0" w:color="auto"/>
            </w:tcBorders>
            <w:shd w:val="clear" w:color="auto" w:fill="auto"/>
            <w:vAlign w:val="center"/>
            <w:hideMark/>
          </w:tcPr>
          <w:p w14:paraId="489AE61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113.2</w:t>
            </w:r>
          </w:p>
        </w:tc>
        <w:tc>
          <w:tcPr>
            <w:tcW w:w="1428" w:type="dxa"/>
            <w:tcBorders>
              <w:top w:val="nil"/>
              <w:left w:val="nil"/>
              <w:bottom w:val="single" w:sz="4" w:space="0" w:color="auto"/>
              <w:right w:val="single" w:sz="4" w:space="0" w:color="auto"/>
            </w:tcBorders>
            <w:shd w:val="clear" w:color="auto" w:fill="auto"/>
            <w:vAlign w:val="center"/>
            <w:hideMark/>
          </w:tcPr>
          <w:p w14:paraId="7979CD4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17BC52BD" w14:textId="77777777" w:rsidTr="001E4364">
        <w:trPr>
          <w:trHeight w:val="60"/>
        </w:trPr>
        <w:tc>
          <w:tcPr>
            <w:tcW w:w="2141" w:type="dxa"/>
            <w:vMerge/>
            <w:tcBorders>
              <w:top w:val="nil"/>
              <w:left w:val="single" w:sz="4" w:space="0" w:color="auto"/>
              <w:bottom w:val="single" w:sz="4" w:space="0" w:color="auto"/>
              <w:right w:val="single" w:sz="4" w:space="0" w:color="auto"/>
            </w:tcBorders>
            <w:vAlign w:val="center"/>
            <w:hideMark/>
          </w:tcPr>
          <w:p w14:paraId="5A96A2F0"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5FF5ABB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2018</w:t>
            </w:r>
          </w:p>
        </w:tc>
        <w:tc>
          <w:tcPr>
            <w:tcW w:w="2035" w:type="dxa"/>
            <w:tcBorders>
              <w:top w:val="nil"/>
              <w:left w:val="nil"/>
              <w:bottom w:val="single" w:sz="4" w:space="0" w:color="auto"/>
              <w:right w:val="single" w:sz="4" w:space="0" w:color="auto"/>
            </w:tcBorders>
            <w:shd w:val="clear" w:color="auto" w:fill="auto"/>
            <w:vAlign w:val="center"/>
            <w:hideMark/>
          </w:tcPr>
          <w:p w14:paraId="6EC8DC0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20.8(11.5-37.6)</w:t>
            </w:r>
          </w:p>
        </w:tc>
        <w:tc>
          <w:tcPr>
            <w:tcW w:w="943" w:type="dxa"/>
            <w:tcBorders>
              <w:top w:val="nil"/>
              <w:left w:val="nil"/>
              <w:bottom w:val="single" w:sz="4" w:space="0" w:color="auto"/>
              <w:right w:val="single" w:sz="4" w:space="0" w:color="auto"/>
            </w:tcBorders>
            <w:shd w:val="clear" w:color="auto" w:fill="auto"/>
            <w:vAlign w:val="center"/>
            <w:hideMark/>
          </w:tcPr>
          <w:p w14:paraId="2AAEB96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0C0ADC9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0.000***</w:t>
            </w:r>
          </w:p>
        </w:tc>
      </w:tr>
      <w:tr w:rsidR="00742C01" w:rsidRPr="00384232" w14:paraId="57B436C3" w14:textId="77777777" w:rsidTr="001E4364">
        <w:trPr>
          <w:trHeight w:val="60"/>
        </w:trPr>
        <w:tc>
          <w:tcPr>
            <w:tcW w:w="2141" w:type="dxa"/>
            <w:vMerge/>
            <w:tcBorders>
              <w:top w:val="nil"/>
              <w:left w:val="single" w:sz="4" w:space="0" w:color="auto"/>
              <w:bottom w:val="single" w:sz="4" w:space="0" w:color="auto"/>
              <w:right w:val="single" w:sz="4" w:space="0" w:color="auto"/>
            </w:tcBorders>
            <w:vAlign w:val="center"/>
            <w:hideMark/>
          </w:tcPr>
          <w:p w14:paraId="2EBEC8A5"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68242D5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2019</w:t>
            </w:r>
          </w:p>
        </w:tc>
        <w:tc>
          <w:tcPr>
            <w:tcW w:w="2035" w:type="dxa"/>
            <w:tcBorders>
              <w:top w:val="nil"/>
              <w:left w:val="nil"/>
              <w:bottom w:val="single" w:sz="4" w:space="0" w:color="auto"/>
              <w:right w:val="single" w:sz="4" w:space="0" w:color="auto"/>
            </w:tcBorders>
            <w:shd w:val="clear" w:color="auto" w:fill="auto"/>
            <w:vAlign w:val="center"/>
            <w:hideMark/>
          </w:tcPr>
          <w:p w14:paraId="4EEB724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6.4(3.2-13)</w:t>
            </w:r>
          </w:p>
        </w:tc>
        <w:tc>
          <w:tcPr>
            <w:tcW w:w="943" w:type="dxa"/>
            <w:tcBorders>
              <w:top w:val="nil"/>
              <w:left w:val="nil"/>
              <w:bottom w:val="single" w:sz="4" w:space="0" w:color="auto"/>
              <w:right w:val="single" w:sz="4" w:space="0" w:color="auto"/>
            </w:tcBorders>
            <w:shd w:val="clear" w:color="auto" w:fill="auto"/>
            <w:vAlign w:val="center"/>
            <w:hideMark/>
          </w:tcPr>
          <w:p w14:paraId="398C500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6E62F5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0.000***</w:t>
            </w:r>
          </w:p>
        </w:tc>
      </w:tr>
      <w:tr w:rsidR="00742C01" w:rsidRPr="00384232" w14:paraId="4F8EF793" w14:textId="77777777" w:rsidTr="001E4364">
        <w:trPr>
          <w:trHeight w:val="315"/>
        </w:trPr>
        <w:tc>
          <w:tcPr>
            <w:tcW w:w="2141" w:type="dxa"/>
            <w:vMerge w:val="restart"/>
            <w:tcBorders>
              <w:top w:val="nil"/>
              <w:left w:val="single" w:sz="4" w:space="0" w:color="auto"/>
              <w:bottom w:val="single" w:sz="4" w:space="0" w:color="auto"/>
              <w:right w:val="single" w:sz="4" w:space="0" w:color="auto"/>
            </w:tcBorders>
            <w:shd w:val="clear" w:color="auto" w:fill="auto"/>
            <w:vAlign w:val="center"/>
            <w:hideMark/>
          </w:tcPr>
          <w:p w14:paraId="37A5BC3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Parity </w:t>
            </w:r>
          </w:p>
        </w:tc>
        <w:tc>
          <w:tcPr>
            <w:tcW w:w="1293" w:type="dxa"/>
            <w:tcBorders>
              <w:top w:val="nil"/>
              <w:left w:val="nil"/>
              <w:bottom w:val="single" w:sz="4" w:space="0" w:color="auto"/>
              <w:right w:val="single" w:sz="4" w:space="0" w:color="auto"/>
            </w:tcBorders>
            <w:shd w:val="clear" w:color="auto" w:fill="auto"/>
            <w:vAlign w:val="center"/>
            <w:hideMark/>
          </w:tcPr>
          <w:p w14:paraId="6C3280F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w:t>
            </w:r>
          </w:p>
        </w:tc>
        <w:tc>
          <w:tcPr>
            <w:tcW w:w="2035" w:type="dxa"/>
            <w:tcBorders>
              <w:top w:val="nil"/>
              <w:left w:val="nil"/>
              <w:bottom w:val="single" w:sz="4" w:space="0" w:color="auto"/>
              <w:right w:val="single" w:sz="4" w:space="0" w:color="auto"/>
            </w:tcBorders>
            <w:shd w:val="clear" w:color="auto" w:fill="auto"/>
            <w:vAlign w:val="center"/>
            <w:hideMark/>
          </w:tcPr>
          <w:p w14:paraId="688A6EA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943" w:type="dxa"/>
            <w:tcBorders>
              <w:top w:val="nil"/>
              <w:left w:val="nil"/>
              <w:bottom w:val="single" w:sz="4" w:space="0" w:color="auto"/>
              <w:right w:val="single" w:sz="4" w:space="0" w:color="auto"/>
            </w:tcBorders>
            <w:shd w:val="clear" w:color="auto" w:fill="auto"/>
            <w:vAlign w:val="center"/>
            <w:hideMark/>
          </w:tcPr>
          <w:p w14:paraId="21C3DE4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12.58</w:t>
            </w:r>
          </w:p>
        </w:tc>
        <w:tc>
          <w:tcPr>
            <w:tcW w:w="1428" w:type="dxa"/>
            <w:tcBorders>
              <w:top w:val="nil"/>
              <w:left w:val="nil"/>
              <w:bottom w:val="single" w:sz="4" w:space="0" w:color="auto"/>
              <w:right w:val="single" w:sz="4" w:space="0" w:color="auto"/>
            </w:tcBorders>
            <w:shd w:val="clear" w:color="auto" w:fill="auto"/>
            <w:vAlign w:val="center"/>
            <w:hideMark/>
          </w:tcPr>
          <w:p w14:paraId="7233FD7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54CE63F4"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3ABC914D"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6F1F1B1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w:t>
            </w:r>
          </w:p>
        </w:tc>
        <w:tc>
          <w:tcPr>
            <w:tcW w:w="2035" w:type="dxa"/>
            <w:tcBorders>
              <w:top w:val="nil"/>
              <w:left w:val="nil"/>
              <w:bottom w:val="single" w:sz="4" w:space="0" w:color="auto"/>
              <w:right w:val="single" w:sz="4" w:space="0" w:color="auto"/>
            </w:tcBorders>
            <w:shd w:val="clear" w:color="auto" w:fill="auto"/>
            <w:vAlign w:val="center"/>
            <w:hideMark/>
          </w:tcPr>
          <w:p w14:paraId="175E9B8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1.07(0.7-1.6)</w:t>
            </w:r>
          </w:p>
        </w:tc>
        <w:tc>
          <w:tcPr>
            <w:tcW w:w="943" w:type="dxa"/>
            <w:tcBorders>
              <w:top w:val="nil"/>
              <w:left w:val="nil"/>
              <w:bottom w:val="single" w:sz="4" w:space="0" w:color="auto"/>
              <w:right w:val="single" w:sz="4" w:space="0" w:color="auto"/>
            </w:tcBorders>
            <w:shd w:val="clear" w:color="auto" w:fill="auto"/>
            <w:vAlign w:val="center"/>
            <w:hideMark/>
          </w:tcPr>
          <w:p w14:paraId="2380FB4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2634DB5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0.735</w:t>
            </w:r>
          </w:p>
        </w:tc>
      </w:tr>
      <w:tr w:rsidR="00742C01" w:rsidRPr="00384232" w14:paraId="2BAE27CA"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0CDD63F5"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2450591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3</w:t>
            </w:r>
          </w:p>
        </w:tc>
        <w:tc>
          <w:tcPr>
            <w:tcW w:w="2035" w:type="dxa"/>
            <w:tcBorders>
              <w:top w:val="nil"/>
              <w:left w:val="nil"/>
              <w:bottom w:val="single" w:sz="4" w:space="0" w:color="auto"/>
              <w:right w:val="single" w:sz="4" w:space="0" w:color="auto"/>
            </w:tcBorders>
            <w:shd w:val="clear" w:color="auto" w:fill="auto"/>
            <w:vAlign w:val="center"/>
            <w:hideMark/>
          </w:tcPr>
          <w:p w14:paraId="39768BD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0.9(0.5-1.5)</w:t>
            </w:r>
          </w:p>
        </w:tc>
        <w:tc>
          <w:tcPr>
            <w:tcW w:w="943" w:type="dxa"/>
            <w:tcBorders>
              <w:top w:val="nil"/>
              <w:left w:val="nil"/>
              <w:bottom w:val="single" w:sz="4" w:space="0" w:color="auto"/>
              <w:right w:val="single" w:sz="4" w:space="0" w:color="auto"/>
            </w:tcBorders>
            <w:shd w:val="clear" w:color="auto" w:fill="auto"/>
            <w:vAlign w:val="center"/>
            <w:hideMark/>
          </w:tcPr>
          <w:p w14:paraId="13DF91B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02E5244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0.773</w:t>
            </w:r>
          </w:p>
        </w:tc>
      </w:tr>
      <w:tr w:rsidR="00742C01" w:rsidRPr="00384232" w14:paraId="28965CF5"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5339425B"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56B382F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4</w:t>
            </w:r>
          </w:p>
        </w:tc>
        <w:tc>
          <w:tcPr>
            <w:tcW w:w="2035" w:type="dxa"/>
            <w:tcBorders>
              <w:top w:val="nil"/>
              <w:left w:val="nil"/>
              <w:bottom w:val="single" w:sz="4" w:space="0" w:color="auto"/>
              <w:right w:val="single" w:sz="4" w:space="0" w:color="auto"/>
            </w:tcBorders>
            <w:shd w:val="clear" w:color="auto" w:fill="auto"/>
            <w:vAlign w:val="center"/>
            <w:hideMark/>
          </w:tcPr>
          <w:p w14:paraId="3FB3F26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0.5(0.3-0.9)</w:t>
            </w:r>
          </w:p>
        </w:tc>
        <w:tc>
          <w:tcPr>
            <w:tcW w:w="943" w:type="dxa"/>
            <w:tcBorders>
              <w:top w:val="nil"/>
              <w:left w:val="nil"/>
              <w:bottom w:val="single" w:sz="4" w:space="0" w:color="auto"/>
              <w:right w:val="single" w:sz="4" w:space="0" w:color="auto"/>
            </w:tcBorders>
            <w:shd w:val="clear" w:color="auto" w:fill="auto"/>
            <w:vAlign w:val="center"/>
            <w:hideMark/>
          </w:tcPr>
          <w:p w14:paraId="75674DDB"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1722AEB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0.031*</w:t>
            </w:r>
          </w:p>
        </w:tc>
      </w:tr>
      <w:tr w:rsidR="00742C01" w:rsidRPr="00384232" w14:paraId="6B0B1B50"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2B78E3BE"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57C5C77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5</w:t>
            </w:r>
          </w:p>
        </w:tc>
        <w:tc>
          <w:tcPr>
            <w:tcW w:w="2035" w:type="dxa"/>
            <w:tcBorders>
              <w:top w:val="nil"/>
              <w:left w:val="nil"/>
              <w:bottom w:val="single" w:sz="4" w:space="0" w:color="auto"/>
              <w:right w:val="single" w:sz="4" w:space="0" w:color="auto"/>
            </w:tcBorders>
            <w:shd w:val="clear" w:color="auto" w:fill="auto"/>
            <w:vAlign w:val="center"/>
            <w:hideMark/>
          </w:tcPr>
          <w:p w14:paraId="5981F91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0.9(0.5-1.5)</w:t>
            </w:r>
          </w:p>
        </w:tc>
        <w:tc>
          <w:tcPr>
            <w:tcW w:w="943" w:type="dxa"/>
            <w:tcBorders>
              <w:top w:val="nil"/>
              <w:left w:val="nil"/>
              <w:bottom w:val="single" w:sz="4" w:space="0" w:color="auto"/>
              <w:right w:val="single" w:sz="4" w:space="0" w:color="auto"/>
            </w:tcBorders>
            <w:shd w:val="clear" w:color="auto" w:fill="auto"/>
            <w:vAlign w:val="center"/>
            <w:hideMark/>
          </w:tcPr>
          <w:p w14:paraId="6A3DF7E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665BCE6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0.682</w:t>
            </w:r>
          </w:p>
        </w:tc>
      </w:tr>
      <w:tr w:rsidR="00742C01" w:rsidRPr="00384232" w14:paraId="0B2CBD4A"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2423C599"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0B6049E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6</w:t>
            </w:r>
          </w:p>
        </w:tc>
        <w:tc>
          <w:tcPr>
            <w:tcW w:w="2035" w:type="dxa"/>
            <w:tcBorders>
              <w:top w:val="nil"/>
              <w:left w:val="nil"/>
              <w:bottom w:val="single" w:sz="4" w:space="0" w:color="auto"/>
              <w:right w:val="single" w:sz="4" w:space="0" w:color="auto"/>
            </w:tcBorders>
            <w:shd w:val="clear" w:color="auto" w:fill="auto"/>
            <w:vAlign w:val="center"/>
            <w:hideMark/>
          </w:tcPr>
          <w:p w14:paraId="07FF520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0.8(0.41-1.69)</w:t>
            </w:r>
          </w:p>
        </w:tc>
        <w:tc>
          <w:tcPr>
            <w:tcW w:w="943" w:type="dxa"/>
            <w:tcBorders>
              <w:top w:val="nil"/>
              <w:left w:val="nil"/>
              <w:bottom w:val="single" w:sz="4" w:space="0" w:color="auto"/>
              <w:right w:val="single" w:sz="4" w:space="0" w:color="auto"/>
            </w:tcBorders>
            <w:shd w:val="clear" w:color="auto" w:fill="auto"/>
            <w:vAlign w:val="center"/>
            <w:hideMark/>
          </w:tcPr>
          <w:p w14:paraId="68F976E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45528E5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0.619</w:t>
            </w:r>
          </w:p>
        </w:tc>
      </w:tr>
      <w:tr w:rsidR="00742C01" w:rsidRPr="00384232" w14:paraId="7A4C9FF0"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4E666D24"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4A75CCD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7</w:t>
            </w:r>
          </w:p>
        </w:tc>
        <w:tc>
          <w:tcPr>
            <w:tcW w:w="2035" w:type="dxa"/>
            <w:tcBorders>
              <w:top w:val="nil"/>
              <w:left w:val="nil"/>
              <w:bottom w:val="single" w:sz="4" w:space="0" w:color="auto"/>
              <w:right w:val="single" w:sz="4" w:space="0" w:color="auto"/>
            </w:tcBorders>
            <w:shd w:val="clear" w:color="auto" w:fill="auto"/>
            <w:vAlign w:val="center"/>
            <w:hideMark/>
          </w:tcPr>
          <w:p w14:paraId="243FB72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1.09(0.5-2.3)</w:t>
            </w:r>
          </w:p>
        </w:tc>
        <w:tc>
          <w:tcPr>
            <w:tcW w:w="943" w:type="dxa"/>
            <w:tcBorders>
              <w:top w:val="nil"/>
              <w:left w:val="nil"/>
              <w:bottom w:val="single" w:sz="4" w:space="0" w:color="auto"/>
              <w:right w:val="single" w:sz="4" w:space="0" w:color="auto"/>
            </w:tcBorders>
            <w:shd w:val="clear" w:color="auto" w:fill="auto"/>
            <w:vAlign w:val="center"/>
            <w:hideMark/>
          </w:tcPr>
          <w:p w14:paraId="3B635B9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6DBCAD2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0.812</w:t>
            </w:r>
          </w:p>
        </w:tc>
      </w:tr>
      <w:tr w:rsidR="00742C01" w:rsidRPr="00384232" w14:paraId="18CF7077"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68A0BF7C"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79DED74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8</w:t>
            </w:r>
          </w:p>
        </w:tc>
        <w:tc>
          <w:tcPr>
            <w:tcW w:w="2035" w:type="dxa"/>
            <w:tcBorders>
              <w:top w:val="nil"/>
              <w:left w:val="nil"/>
              <w:bottom w:val="single" w:sz="4" w:space="0" w:color="auto"/>
              <w:right w:val="single" w:sz="4" w:space="0" w:color="auto"/>
            </w:tcBorders>
            <w:shd w:val="clear" w:color="auto" w:fill="auto"/>
            <w:vAlign w:val="center"/>
            <w:hideMark/>
          </w:tcPr>
          <w:p w14:paraId="74F5B9D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0.8(0.3-2.3)</w:t>
            </w:r>
          </w:p>
        </w:tc>
        <w:tc>
          <w:tcPr>
            <w:tcW w:w="943" w:type="dxa"/>
            <w:tcBorders>
              <w:top w:val="nil"/>
              <w:left w:val="nil"/>
              <w:bottom w:val="single" w:sz="4" w:space="0" w:color="auto"/>
              <w:right w:val="single" w:sz="4" w:space="0" w:color="auto"/>
            </w:tcBorders>
            <w:shd w:val="clear" w:color="auto" w:fill="auto"/>
            <w:vAlign w:val="center"/>
            <w:hideMark/>
          </w:tcPr>
          <w:p w14:paraId="11E6B73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B103BB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0.759</w:t>
            </w:r>
          </w:p>
        </w:tc>
      </w:tr>
      <w:tr w:rsidR="00742C01" w:rsidRPr="00384232" w14:paraId="51A896CD" w14:textId="77777777" w:rsidTr="001E4364">
        <w:trPr>
          <w:trHeight w:val="315"/>
        </w:trPr>
        <w:tc>
          <w:tcPr>
            <w:tcW w:w="2141" w:type="dxa"/>
            <w:vMerge w:val="restart"/>
            <w:tcBorders>
              <w:top w:val="nil"/>
              <w:left w:val="single" w:sz="4" w:space="0" w:color="auto"/>
              <w:right w:val="single" w:sz="4" w:space="0" w:color="auto"/>
            </w:tcBorders>
            <w:shd w:val="clear" w:color="auto" w:fill="auto"/>
            <w:vAlign w:val="center"/>
            <w:hideMark/>
          </w:tcPr>
          <w:p w14:paraId="691A334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p w14:paraId="2D2F52B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Sex</w:t>
            </w:r>
          </w:p>
        </w:tc>
        <w:tc>
          <w:tcPr>
            <w:tcW w:w="1293" w:type="dxa"/>
            <w:tcBorders>
              <w:top w:val="nil"/>
              <w:left w:val="nil"/>
              <w:bottom w:val="single" w:sz="4" w:space="0" w:color="auto"/>
              <w:right w:val="single" w:sz="4" w:space="0" w:color="auto"/>
            </w:tcBorders>
            <w:shd w:val="clear" w:color="auto" w:fill="auto"/>
            <w:vAlign w:val="center"/>
            <w:hideMark/>
          </w:tcPr>
          <w:p w14:paraId="0B85EBD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10</w:t>
            </w:r>
          </w:p>
        </w:tc>
        <w:tc>
          <w:tcPr>
            <w:tcW w:w="2035" w:type="dxa"/>
            <w:tcBorders>
              <w:top w:val="nil"/>
              <w:left w:val="nil"/>
              <w:bottom w:val="single" w:sz="4" w:space="0" w:color="auto"/>
              <w:right w:val="single" w:sz="4" w:space="0" w:color="auto"/>
            </w:tcBorders>
            <w:shd w:val="clear" w:color="auto" w:fill="auto"/>
            <w:vAlign w:val="center"/>
            <w:hideMark/>
          </w:tcPr>
          <w:p w14:paraId="2BB6308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 (0.1-6.04)</w:t>
            </w:r>
          </w:p>
        </w:tc>
        <w:tc>
          <w:tcPr>
            <w:tcW w:w="943" w:type="dxa"/>
            <w:tcBorders>
              <w:top w:val="nil"/>
              <w:left w:val="nil"/>
              <w:bottom w:val="single" w:sz="4" w:space="0" w:color="auto"/>
              <w:right w:val="single" w:sz="4" w:space="0" w:color="auto"/>
            </w:tcBorders>
            <w:shd w:val="clear" w:color="auto" w:fill="auto"/>
            <w:vAlign w:val="center"/>
            <w:hideMark/>
          </w:tcPr>
          <w:p w14:paraId="0770DAE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0F8A8F5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0.831</w:t>
            </w:r>
          </w:p>
        </w:tc>
      </w:tr>
      <w:tr w:rsidR="00742C01" w:rsidRPr="00384232" w14:paraId="5D158677" w14:textId="77777777" w:rsidTr="001E4364">
        <w:trPr>
          <w:trHeight w:val="315"/>
        </w:trPr>
        <w:tc>
          <w:tcPr>
            <w:tcW w:w="2141" w:type="dxa"/>
            <w:vMerge/>
            <w:tcBorders>
              <w:left w:val="single" w:sz="4" w:space="0" w:color="auto"/>
              <w:right w:val="single" w:sz="4" w:space="0" w:color="auto"/>
            </w:tcBorders>
            <w:shd w:val="clear" w:color="auto" w:fill="auto"/>
            <w:vAlign w:val="center"/>
            <w:hideMark/>
          </w:tcPr>
          <w:p w14:paraId="4BAE0CCA"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6F2D84C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Female </w:t>
            </w:r>
          </w:p>
        </w:tc>
        <w:tc>
          <w:tcPr>
            <w:tcW w:w="2035" w:type="dxa"/>
            <w:tcBorders>
              <w:top w:val="nil"/>
              <w:left w:val="nil"/>
              <w:bottom w:val="single" w:sz="4" w:space="0" w:color="auto"/>
              <w:right w:val="single" w:sz="4" w:space="0" w:color="auto"/>
            </w:tcBorders>
            <w:shd w:val="clear" w:color="auto" w:fill="auto"/>
            <w:vAlign w:val="center"/>
            <w:hideMark/>
          </w:tcPr>
          <w:p w14:paraId="404CFAD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943" w:type="dxa"/>
            <w:tcBorders>
              <w:top w:val="nil"/>
              <w:left w:val="nil"/>
              <w:bottom w:val="single" w:sz="4" w:space="0" w:color="auto"/>
              <w:right w:val="single" w:sz="4" w:space="0" w:color="auto"/>
            </w:tcBorders>
            <w:shd w:val="clear" w:color="auto" w:fill="auto"/>
            <w:vAlign w:val="center"/>
            <w:hideMark/>
          </w:tcPr>
          <w:p w14:paraId="643F53A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6C7845A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5B731DCC" w14:textId="77777777" w:rsidTr="001E4364">
        <w:trPr>
          <w:trHeight w:val="315"/>
        </w:trPr>
        <w:tc>
          <w:tcPr>
            <w:tcW w:w="2141" w:type="dxa"/>
            <w:vMerge/>
            <w:tcBorders>
              <w:left w:val="single" w:sz="4" w:space="0" w:color="auto"/>
              <w:bottom w:val="single" w:sz="4" w:space="0" w:color="auto"/>
              <w:right w:val="single" w:sz="4" w:space="0" w:color="auto"/>
            </w:tcBorders>
            <w:vAlign w:val="center"/>
            <w:hideMark/>
          </w:tcPr>
          <w:p w14:paraId="1DD458E0"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7662547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Male </w:t>
            </w:r>
          </w:p>
        </w:tc>
        <w:tc>
          <w:tcPr>
            <w:tcW w:w="2035" w:type="dxa"/>
            <w:tcBorders>
              <w:top w:val="nil"/>
              <w:left w:val="nil"/>
              <w:bottom w:val="single" w:sz="4" w:space="0" w:color="auto"/>
              <w:right w:val="single" w:sz="4" w:space="0" w:color="auto"/>
            </w:tcBorders>
            <w:shd w:val="clear" w:color="auto" w:fill="auto"/>
            <w:vAlign w:val="center"/>
            <w:hideMark/>
          </w:tcPr>
          <w:p w14:paraId="354EC02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0.9(0.7-1.3)</w:t>
            </w:r>
          </w:p>
        </w:tc>
        <w:tc>
          <w:tcPr>
            <w:tcW w:w="943" w:type="dxa"/>
            <w:tcBorders>
              <w:top w:val="nil"/>
              <w:left w:val="nil"/>
              <w:bottom w:val="single" w:sz="4" w:space="0" w:color="auto"/>
              <w:right w:val="single" w:sz="4" w:space="0" w:color="auto"/>
            </w:tcBorders>
            <w:shd w:val="clear" w:color="auto" w:fill="auto"/>
            <w:vAlign w:val="center"/>
            <w:hideMark/>
          </w:tcPr>
          <w:p w14:paraId="292D91A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43A4B9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0.955</w:t>
            </w:r>
          </w:p>
        </w:tc>
      </w:tr>
      <w:tr w:rsidR="00742C01" w:rsidRPr="00384232" w14:paraId="76AC98FB" w14:textId="77777777" w:rsidTr="001E4364">
        <w:trPr>
          <w:trHeight w:val="80"/>
        </w:trPr>
        <w:tc>
          <w:tcPr>
            <w:tcW w:w="2141" w:type="dxa"/>
            <w:vMerge w:val="restart"/>
            <w:tcBorders>
              <w:top w:val="nil"/>
              <w:left w:val="single" w:sz="4" w:space="0" w:color="auto"/>
              <w:bottom w:val="single" w:sz="4" w:space="0" w:color="auto"/>
              <w:right w:val="single" w:sz="4" w:space="0" w:color="auto"/>
            </w:tcBorders>
            <w:shd w:val="clear" w:color="auto" w:fill="auto"/>
            <w:vAlign w:val="center"/>
            <w:hideMark/>
          </w:tcPr>
          <w:p w14:paraId="6A4B068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Location </w:t>
            </w:r>
          </w:p>
        </w:tc>
        <w:tc>
          <w:tcPr>
            <w:tcW w:w="1293" w:type="dxa"/>
            <w:tcBorders>
              <w:top w:val="nil"/>
              <w:left w:val="nil"/>
              <w:bottom w:val="single" w:sz="4" w:space="0" w:color="auto"/>
              <w:right w:val="single" w:sz="4" w:space="0" w:color="auto"/>
            </w:tcBorders>
            <w:shd w:val="clear" w:color="auto" w:fill="auto"/>
            <w:vAlign w:val="center"/>
            <w:hideMark/>
          </w:tcPr>
          <w:p w14:paraId="5B47618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Abergelle </w:t>
            </w:r>
          </w:p>
        </w:tc>
        <w:tc>
          <w:tcPr>
            <w:tcW w:w="2035" w:type="dxa"/>
            <w:tcBorders>
              <w:top w:val="nil"/>
              <w:left w:val="nil"/>
              <w:bottom w:val="single" w:sz="4" w:space="0" w:color="auto"/>
              <w:right w:val="single" w:sz="4" w:space="0" w:color="auto"/>
            </w:tcBorders>
            <w:shd w:val="clear" w:color="auto" w:fill="auto"/>
            <w:vAlign w:val="center"/>
            <w:hideMark/>
          </w:tcPr>
          <w:p w14:paraId="5C767AF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943" w:type="dxa"/>
            <w:tcBorders>
              <w:top w:val="nil"/>
              <w:left w:val="nil"/>
              <w:bottom w:val="single" w:sz="4" w:space="0" w:color="auto"/>
              <w:right w:val="single" w:sz="4" w:space="0" w:color="auto"/>
            </w:tcBorders>
            <w:shd w:val="clear" w:color="auto" w:fill="auto"/>
            <w:vAlign w:val="center"/>
            <w:hideMark/>
          </w:tcPr>
          <w:p w14:paraId="48587BF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3.6336</w:t>
            </w:r>
          </w:p>
        </w:tc>
        <w:tc>
          <w:tcPr>
            <w:tcW w:w="1428" w:type="dxa"/>
            <w:tcBorders>
              <w:top w:val="nil"/>
              <w:left w:val="nil"/>
              <w:bottom w:val="single" w:sz="4" w:space="0" w:color="auto"/>
              <w:right w:val="single" w:sz="4" w:space="0" w:color="auto"/>
            </w:tcBorders>
            <w:shd w:val="clear" w:color="auto" w:fill="auto"/>
            <w:vAlign w:val="center"/>
            <w:hideMark/>
          </w:tcPr>
          <w:p w14:paraId="0599C1C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r>
      <w:tr w:rsidR="00742C01" w:rsidRPr="00384232" w14:paraId="1F8C58E7" w14:textId="77777777" w:rsidTr="001E4364">
        <w:trPr>
          <w:trHeight w:val="315"/>
        </w:trPr>
        <w:tc>
          <w:tcPr>
            <w:tcW w:w="2141" w:type="dxa"/>
            <w:vMerge/>
            <w:tcBorders>
              <w:top w:val="nil"/>
              <w:left w:val="single" w:sz="4" w:space="0" w:color="auto"/>
              <w:bottom w:val="single" w:sz="4" w:space="0" w:color="auto"/>
              <w:right w:val="single" w:sz="4" w:space="0" w:color="auto"/>
            </w:tcBorders>
            <w:vAlign w:val="center"/>
            <w:hideMark/>
          </w:tcPr>
          <w:p w14:paraId="5675C846"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7F90FF4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Aybira</w:t>
            </w:r>
          </w:p>
        </w:tc>
        <w:tc>
          <w:tcPr>
            <w:tcW w:w="2035" w:type="dxa"/>
            <w:tcBorders>
              <w:top w:val="nil"/>
              <w:left w:val="nil"/>
              <w:bottom w:val="single" w:sz="4" w:space="0" w:color="auto"/>
              <w:right w:val="single" w:sz="4" w:space="0" w:color="auto"/>
            </w:tcBorders>
            <w:shd w:val="clear" w:color="auto" w:fill="auto"/>
            <w:vAlign w:val="center"/>
            <w:hideMark/>
          </w:tcPr>
          <w:p w14:paraId="789DCBB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0.9(0.6-1.4)</w:t>
            </w:r>
          </w:p>
        </w:tc>
        <w:tc>
          <w:tcPr>
            <w:tcW w:w="943" w:type="dxa"/>
            <w:tcBorders>
              <w:top w:val="nil"/>
              <w:left w:val="nil"/>
              <w:bottom w:val="single" w:sz="4" w:space="0" w:color="auto"/>
              <w:right w:val="single" w:sz="4" w:space="0" w:color="auto"/>
            </w:tcBorders>
            <w:shd w:val="clear" w:color="auto" w:fill="auto"/>
            <w:vAlign w:val="center"/>
            <w:hideMark/>
          </w:tcPr>
          <w:p w14:paraId="589DEB0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3D4F200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0.826</w:t>
            </w:r>
          </w:p>
        </w:tc>
      </w:tr>
      <w:tr w:rsidR="00742C01" w:rsidRPr="00384232" w14:paraId="00722A11" w14:textId="77777777" w:rsidTr="001E4364">
        <w:trPr>
          <w:trHeight w:val="315"/>
        </w:trPr>
        <w:tc>
          <w:tcPr>
            <w:tcW w:w="2141" w:type="dxa"/>
            <w:vMerge w:val="restart"/>
            <w:tcBorders>
              <w:top w:val="nil"/>
              <w:left w:val="single" w:sz="4" w:space="0" w:color="auto"/>
              <w:bottom w:val="single" w:sz="4" w:space="0" w:color="auto"/>
              <w:right w:val="single" w:sz="4" w:space="0" w:color="auto"/>
            </w:tcBorders>
            <w:shd w:val="clear" w:color="auto" w:fill="auto"/>
            <w:vAlign w:val="center"/>
            <w:hideMark/>
          </w:tcPr>
          <w:p w14:paraId="663B5DC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Colostrum intake </w:t>
            </w:r>
          </w:p>
        </w:tc>
        <w:tc>
          <w:tcPr>
            <w:tcW w:w="1293" w:type="dxa"/>
            <w:tcBorders>
              <w:top w:val="nil"/>
              <w:left w:val="nil"/>
              <w:bottom w:val="single" w:sz="4" w:space="0" w:color="auto"/>
              <w:right w:val="single" w:sz="4" w:space="0" w:color="auto"/>
            </w:tcBorders>
            <w:shd w:val="clear" w:color="auto" w:fill="auto"/>
            <w:vAlign w:val="center"/>
            <w:hideMark/>
          </w:tcPr>
          <w:p w14:paraId="0E89563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Yes   </w:t>
            </w:r>
          </w:p>
        </w:tc>
        <w:tc>
          <w:tcPr>
            <w:tcW w:w="2035" w:type="dxa"/>
            <w:tcBorders>
              <w:top w:val="nil"/>
              <w:left w:val="nil"/>
              <w:bottom w:val="single" w:sz="4" w:space="0" w:color="auto"/>
              <w:right w:val="single" w:sz="4" w:space="0" w:color="auto"/>
            </w:tcBorders>
            <w:shd w:val="clear" w:color="auto" w:fill="auto"/>
            <w:vAlign w:val="center"/>
            <w:hideMark/>
          </w:tcPr>
          <w:p w14:paraId="45BC406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943" w:type="dxa"/>
            <w:tcBorders>
              <w:top w:val="nil"/>
              <w:left w:val="nil"/>
              <w:bottom w:val="single" w:sz="4" w:space="0" w:color="auto"/>
              <w:right w:val="single" w:sz="4" w:space="0" w:color="auto"/>
            </w:tcBorders>
            <w:shd w:val="clear" w:color="auto" w:fill="auto"/>
            <w:vAlign w:val="center"/>
            <w:hideMark/>
          </w:tcPr>
          <w:p w14:paraId="6200C9B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5347B18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r>
      <w:tr w:rsidR="00742C01" w:rsidRPr="00384232" w14:paraId="6228F344" w14:textId="77777777" w:rsidTr="001E4364">
        <w:trPr>
          <w:trHeight w:val="60"/>
        </w:trPr>
        <w:tc>
          <w:tcPr>
            <w:tcW w:w="2141" w:type="dxa"/>
            <w:vMerge/>
            <w:tcBorders>
              <w:top w:val="nil"/>
              <w:left w:val="single" w:sz="4" w:space="0" w:color="auto"/>
              <w:bottom w:val="single" w:sz="4" w:space="0" w:color="auto"/>
              <w:right w:val="single" w:sz="4" w:space="0" w:color="auto"/>
            </w:tcBorders>
            <w:vAlign w:val="center"/>
            <w:hideMark/>
          </w:tcPr>
          <w:p w14:paraId="36C46D1F" w14:textId="77777777" w:rsidR="00742C01" w:rsidRPr="00384232" w:rsidRDefault="00742C01" w:rsidP="00384232">
            <w:pPr>
              <w:rPr>
                <w:rFonts w:ascii="Times New Roman" w:eastAsia="Times New Roman" w:hAnsi="Times New Roman"/>
                <w:color w:val="000000"/>
                <w:sz w:val="24"/>
                <w:szCs w:val="24"/>
              </w:rPr>
            </w:pPr>
          </w:p>
        </w:tc>
        <w:tc>
          <w:tcPr>
            <w:tcW w:w="1293" w:type="dxa"/>
            <w:tcBorders>
              <w:top w:val="nil"/>
              <w:left w:val="nil"/>
              <w:bottom w:val="single" w:sz="4" w:space="0" w:color="auto"/>
              <w:right w:val="single" w:sz="4" w:space="0" w:color="auto"/>
            </w:tcBorders>
            <w:shd w:val="clear" w:color="auto" w:fill="auto"/>
            <w:vAlign w:val="center"/>
            <w:hideMark/>
          </w:tcPr>
          <w:p w14:paraId="289B18C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No  </w:t>
            </w:r>
          </w:p>
        </w:tc>
        <w:tc>
          <w:tcPr>
            <w:tcW w:w="2035" w:type="dxa"/>
            <w:tcBorders>
              <w:top w:val="nil"/>
              <w:left w:val="nil"/>
              <w:bottom w:val="single" w:sz="4" w:space="0" w:color="auto"/>
              <w:right w:val="single" w:sz="4" w:space="0" w:color="auto"/>
            </w:tcBorders>
            <w:shd w:val="clear" w:color="auto" w:fill="auto"/>
            <w:vAlign w:val="center"/>
            <w:hideMark/>
          </w:tcPr>
          <w:p w14:paraId="6112596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0.19(0.13-0.28)</w:t>
            </w:r>
          </w:p>
        </w:tc>
        <w:tc>
          <w:tcPr>
            <w:tcW w:w="943" w:type="dxa"/>
            <w:tcBorders>
              <w:top w:val="nil"/>
              <w:left w:val="nil"/>
              <w:bottom w:val="single" w:sz="4" w:space="0" w:color="auto"/>
              <w:right w:val="single" w:sz="4" w:space="0" w:color="auto"/>
            </w:tcBorders>
            <w:shd w:val="clear" w:color="auto" w:fill="auto"/>
            <w:vAlign w:val="center"/>
            <w:hideMark/>
          </w:tcPr>
          <w:p w14:paraId="17FD308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1428" w:type="dxa"/>
            <w:tcBorders>
              <w:top w:val="nil"/>
              <w:left w:val="nil"/>
              <w:bottom w:val="single" w:sz="4" w:space="0" w:color="auto"/>
              <w:right w:val="single" w:sz="4" w:space="0" w:color="auto"/>
            </w:tcBorders>
            <w:shd w:val="clear" w:color="auto" w:fill="auto"/>
            <w:vAlign w:val="center"/>
            <w:hideMark/>
          </w:tcPr>
          <w:p w14:paraId="673B1F3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0.000***</w:t>
            </w:r>
          </w:p>
        </w:tc>
      </w:tr>
    </w:tbl>
    <w:p w14:paraId="58096EB0"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0C08C794"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space="720"/>
          <w:docGrid w:linePitch="360"/>
        </w:sectPr>
      </w:pPr>
    </w:p>
    <w:p w14:paraId="750D197A" w14:textId="6458B853"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Study years were also found associated with the occurrence of diseases that 2018 (P = 0.000) and 2019 (P = 0.000) were found the years with significance occurrence of diseases than the baseline year, 2017. The likely occurrence of diseases in 2018 and 2019 was 20.8 (P = 0.00; CI 11.5–37.6) and 6.4 (P = 0.00; CI 3.2–13) times higher than the reference year of 2017, respectively (Table 1). Study location and sex of kids were not found statistically significant to influence the </w:t>
      </w:r>
      <w:r w:rsidRPr="00384232">
        <w:rPr>
          <w:rFonts w:ascii="Times New Roman" w:eastAsia="Times New Roman" w:hAnsi="Times New Roman"/>
          <w:sz w:val="24"/>
          <w:szCs w:val="24"/>
        </w:rPr>
        <w:t xml:space="preserve">occurrence of diseases. </w:t>
      </w:r>
    </w:p>
    <w:p w14:paraId="12974A32"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The mortality rate of kids was associated with the year of birth, parity of the doe, and colostrum intake immediately after birth (Table 2). These factors played a crucial role in determining the survival rate of the kids in the study. The parity of the doe, or the number of times she has given birth, may affect her ability to provide adequate care and nutrition to her offspring, thus affecting their survival.</w:t>
      </w:r>
    </w:p>
    <w:p w14:paraId="510610CB"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08CF3108" w14:textId="77777777" w:rsidR="00742C01" w:rsidRPr="00384232" w:rsidRDefault="00742C01" w:rsidP="00384232">
      <w:pPr>
        <w:widowControl w:val="0"/>
        <w:autoSpaceDE w:val="0"/>
        <w:autoSpaceDN w:val="0"/>
        <w:rPr>
          <w:rFonts w:ascii="Times New Roman" w:eastAsia="Times New Roman" w:hAnsi="Times New Roman"/>
          <w:b/>
          <w:bCs/>
          <w:sz w:val="24"/>
          <w:szCs w:val="24"/>
        </w:rPr>
        <w:sectPr w:rsidR="00742C01" w:rsidRPr="00384232" w:rsidSect="00384232">
          <w:type w:val="continuous"/>
          <w:pgSz w:w="11907" w:h="16839" w:code="9"/>
          <w:pgMar w:top="1440" w:right="1440" w:bottom="1440" w:left="1440" w:header="720" w:footer="720" w:gutter="0"/>
          <w:cols w:num="2" w:space="720"/>
          <w:docGrid w:linePitch="360"/>
        </w:sectPr>
      </w:pPr>
    </w:p>
    <w:p w14:paraId="3AA433C0" w14:textId="77777777" w:rsidR="008E5300" w:rsidRPr="00384232" w:rsidRDefault="008E5300" w:rsidP="00384232">
      <w:pPr>
        <w:widowControl w:val="0"/>
        <w:autoSpaceDE w:val="0"/>
        <w:autoSpaceDN w:val="0"/>
        <w:rPr>
          <w:rFonts w:ascii="Times New Roman" w:eastAsia="Times New Roman" w:hAnsi="Times New Roman"/>
          <w:b/>
          <w:bCs/>
          <w:sz w:val="24"/>
          <w:szCs w:val="24"/>
        </w:rPr>
      </w:pPr>
    </w:p>
    <w:p w14:paraId="70BF1129" w14:textId="47DD1DDB" w:rsidR="00742C01" w:rsidRPr="00384232" w:rsidRDefault="00742C01" w:rsidP="00384232">
      <w:pPr>
        <w:widowControl w:val="0"/>
        <w:autoSpaceDE w:val="0"/>
        <w:autoSpaceDN w:val="0"/>
        <w:rPr>
          <w:rFonts w:ascii="Times New Roman" w:eastAsia="Times New Roman" w:hAnsi="Times New Roman"/>
          <w:b/>
          <w:bCs/>
          <w:sz w:val="24"/>
          <w:szCs w:val="24"/>
        </w:rPr>
      </w:pPr>
      <w:r w:rsidRPr="00384232">
        <w:rPr>
          <w:rFonts w:ascii="Times New Roman" w:eastAsia="Times New Roman" w:hAnsi="Times New Roman"/>
          <w:b/>
          <w:bCs/>
          <w:sz w:val="24"/>
          <w:szCs w:val="24"/>
        </w:rPr>
        <w:lastRenderedPageBreak/>
        <w:t>Table 2:</w:t>
      </w:r>
      <w:r w:rsidRPr="00384232">
        <w:rPr>
          <w:rFonts w:ascii="Times New Roman" w:eastAsia="Times New Roman" w:hAnsi="Times New Roman"/>
          <w:sz w:val="24"/>
          <w:szCs w:val="24"/>
        </w:rPr>
        <w:t xml:space="preserve"> Regression analysis of associated risk factors mortality of kids</w:t>
      </w:r>
      <w:r w:rsidRPr="00384232">
        <w:rPr>
          <w:rFonts w:ascii="Times New Roman" w:eastAsia="Times New Roman" w:hAnsi="Times New Roman"/>
          <w:b/>
          <w:bCs/>
          <w:sz w:val="24"/>
          <w:szCs w:val="24"/>
        </w:rPr>
        <w:t xml:space="preserve"> </w:t>
      </w:r>
    </w:p>
    <w:tbl>
      <w:tblPr>
        <w:tblW w:w="0" w:type="auto"/>
        <w:tblLook w:val="04A0" w:firstRow="1" w:lastRow="0" w:firstColumn="1" w:lastColumn="0" w:noHBand="0" w:noVBand="1"/>
      </w:tblPr>
      <w:tblGrid>
        <w:gridCol w:w="1876"/>
        <w:gridCol w:w="1663"/>
        <w:gridCol w:w="1896"/>
        <w:gridCol w:w="1083"/>
        <w:gridCol w:w="1116"/>
      </w:tblGrid>
      <w:tr w:rsidR="00742C01" w:rsidRPr="00384232" w14:paraId="5B18E25B" w14:textId="77777777" w:rsidTr="001E4364">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0254CB"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Risk factors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7BD62D"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Category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43B83"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AOR (95% CI)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FBEF27" w14:textId="77777777" w:rsidR="00742C01" w:rsidRPr="00384232" w:rsidRDefault="00742C01" w:rsidP="00384232">
            <w:pPr>
              <w:rPr>
                <w:rFonts w:ascii="Times New Roman" w:eastAsia="Times New Roman" w:hAnsi="Times New Roman"/>
                <w:b/>
                <w:bCs/>
                <w:i/>
                <w:iCs/>
                <w:color w:val="000000"/>
                <w:sz w:val="24"/>
                <w:szCs w:val="24"/>
              </w:rPr>
            </w:pPr>
            <w:r w:rsidRPr="00384232">
              <w:rPr>
                <w:rFonts w:ascii="Times New Roman" w:eastAsia="Times New Roman" w:hAnsi="Times New Roman"/>
                <w:b/>
                <w:bCs/>
                <w:i/>
                <w:iCs/>
                <w:color w:val="000000"/>
                <w:sz w:val="24"/>
                <w:szCs w:val="24"/>
              </w:rPr>
              <w:t>X</w:t>
            </w:r>
            <w:r w:rsidRPr="00384232">
              <w:rPr>
                <w:rFonts w:ascii="Times New Roman" w:eastAsia="Times New Roman" w:hAnsi="Times New Roman"/>
                <w:b/>
                <w:bCs/>
                <w:color w:val="000000"/>
                <w:sz w:val="24"/>
                <w:szCs w:val="24"/>
                <w:vertAlign w:val="superscript"/>
              </w:rPr>
              <w:t>2</w:t>
            </w:r>
            <w:r w:rsidRPr="00384232">
              <w:rPr>
                <w:rFonts w:ascii="Times New Roman" w:eastAsia="Times New Roman" w:hAnsi="Times New Roman"/>
                <w:b/>
                <w:bCs/>
                <w:color w:val="000000"/>
                <w:sz w:val="24"/>
                <w:szCs w:val="24"/>
              </w:rPr>
              <w:t>-value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2677D" w14:textId="77777777" w:rsidR="00742C01" w:rsidRPr="00384232" w:rsidRDefault="00742C01" w:rsidP="00384232">
            <w:pPr>
              <w:rPr>
                <w:rFonts w:ascii="Times New Roman" w:eastAsia="Times New Roman" w:hAnsi="Times New Roman"/>
                <w:b/>
                <w:bCs/>
                <w:color w:val="000000"/>
                <w:sz w:val="24"/>
                <w:szCs w:val="24"/>
              </w:rPr>
            </w:pPr>
            <w:r w:rsidRPr="00384232">
              <w:rPr>
                <w:rFonts w:ascii="Times New Roman" w:eastAsia="Times New Roman" w:hAnsi="Times New Roman"/>
                <w:b/>
                <w:bCs/>
                <w:color w:val="000000"/>
                <w:sz w:val="24"/>
                <w:szCs w:val="24"/>
              </w:rPr>
              <w:t>p-value</w:t>
            </w:r>
          </w:p>
        </w:tc>
      </w:tr>
      <w:tr w:rsidR="00742C01" w:rsidRPr="00384232" w14:paraId="358872F0"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64B0938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Year </w:t>
            </w:r>
          </w:p>
          <w:p w14:paraId="65186D0B"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751C386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56ABC4F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2017</w:t>
            </w:r>
          </w:p>
        </w:tc>
        <w:tc>
          <w:tcPr>
            <w:tcW w:w="0" w:type="auto"/>
            <w:tcBorders>
              <w:top w:val="nil"/>
              <w:left w:val="nil"/>
              <w:bottom w:val="single" w:sz="4" w:space="0" w:color="auto"/>
              <w:right w:val="single" w:sz="4" w:space="0" w:color="auto"/>
            </w:tcBorders>
            <w:shd w:val="clear" w:color="auto" w:fill="auto"/>
            <w:vAlign w:val="center"/>
            <w:hideMark/>
          </w:tcPr>
          <w:p w14:paraId="16B02EF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Reference</w:t>
            </w:r>
          </w:p>
        </w:tc>
        <w:tc>
          <w:tcPr>
            <w:tcW w:w="0" w:type="auto"/>
            <w:tcBorders>
              <w:top w:val="nil"/>
              <w:left w:val="nil"/>
              <w:bottom w:val="single" w:sz="4" w:space="0" w:color="auto"/>
              <w:right w:val="single" w:sz="4" w:space="0" w:color="auto"/>
            </w:tcBorders>
            <w:shd w:val="clear" w:color="auto" w:fill="auto"/>
            <w:vAlign w:val="center"/>
            <w:hideMark/>
          </w:tcPr>
          <w:p w14:paraId="0005AD0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19.4</w:t>
            </w:r>
          </w:p>
        </w:tc>
        <w:tc>
          <w:tcPr>
            <w:tcW w:w="0" w:type="auto"/>
            <w:tcBorders>
              <w:top w:val="nil"/>
              <w:left w:val="nil"/>
              <w:bottom w:val="single" w:sz="4" w:space="0" w:color="auto"/>
              <w:right w:val="single" w:sz="4" w:space="0" w:color="auto"/>
            </w:tcBorders>
            <w:shd w:val="clear" w:color="auto" w:fill="auto"/>
            <w:hideMark/>
          </w:tcPr>
          <w:p w14:paraId="74CB47A5"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r>
      <w:tr w:rsidR="00742C01" w:rsidRPr="00384232" w14:paraId="2F5CCA1D" w14:textId="77777777" w:rsidTr="001E4364">
        <w:trPr>
          <w:trHeight w:val="315"/>
        </w:trPr>
        <w:tc>
          <w:tcPr>
            <w:tcW w:w="0" w:type="auto"/>
            <w:vMerge/>
            <w:tcBorders>
              <w:left w:val="single" w:sz="4" w:space="0" w:color="auto"/>
              <w:right w:val="single" w:sz="4" w:space="0" w:color="auto"/>
            </w:tcBorders>
            <w:shd w:val="clear" w:color="auto" w:fill="auto"/>
            <w:hideMark/>
          </w:tcPr>
          <w:p w14:paraId="4EAE3B53"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D26CCB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2018</w:t>
            </w:r>
          </w:p>
        </w:tc>
        <w:tc>
          <w:tcPr>
            <w:tcW w:w="0" w:type="auto"/>
            <w:tcBorders>
              <w:top w:val="nil"/>
              <w:left w:val="nil"/>
              <w:bottom w:val="single" w:sz="4" w:space="0" w:color="auto"/>
              <w:right w:val="single" w:sz="4" w:space="0" w:color="auto"/>
            </w:tcBorders>
            <w:shd w:val="clear" w:color="auto" w:fill="auto"/>
            <w:vAlign w:val="center"/>
            <w:hideMark/>
          </w:tcPr>
          <w:p w14:paraId="2487B7E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0.49 (0.19-1.24)</w:t>
            </w:r>
          </w:p>
        </w:tc>
        <w:tc>
          <w:tcPr>
            <w:tcW w:w="0" w:type="auto"/>
            <w:tcBorders>
              <w:top w:val="nil"/>
              <w:left w:val="nil"/>
              <w:bottom w:val="single" w:sz="4" w:space="0" w:color="auto"/>
              <w:right w:val="single" w:sz="4" w:space="0" w:color="auto"/>
            </w:tcBorders>
            <w:shd w:val="clear" w:color="auto" w:fill="auto"/>
            <w:hideMark/>
          </w:tcPr>
          <w:p w14:paraId="05A81B8D"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1D35ADE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0.135</w:t>
            </w:r>
          </w:p>
        </w:tc>
      </w:tr>
      <w:tr w:rsidR="00742C01" w:rsidRPr="00384232" w14:paraId="31AEB5B5"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hideMark/>
          </w:tcPr>
          <w:p w14:paraId="15C27C8D"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130E1A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2019</w:t>
            </w:r>
          </w:p>
        </w:tc>
        <w:tc>
          <w:tcPr>
            <w:tcW w:w="0" w:type="auto"/>
            <w:tcBorders>
              <w:top w:val="nil"/>
              <w:left w:val="nil"/>
              <w:bottom w:val="single" w:sz="4" w:space="0" w:color="auto"/>
              <w:right w:val="single" w:sz="4" w:space="0" w:color="auto"/>
            </w:tcBorders>
            <w:shd w:val="clear" w:color="auto" w:fill="auto"/>
            <w:vAlign w:val="center"/>
            <w:hideMark/>
          </w:tcPr>
          <w:p w14:paraId="2B4E630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0.025 (0.003-0.2)</w:t>
            </w:r>
          </w:p>
        </w:tc>
        <w:tc>
          <w:tcPr>
            <w:tcW w:w="0" w:type="auto"/>
            <w:tcBorders>
              <w:top w:val="nil"/>
              <w:left w:val="nil"/>
              <w:bottom w:val="single" w:sz="4" w:space="0" w:color="auto"/>
              <w:right w:val="single" w:sz="4" w:space="0" w:color="auto"/>
            </w:tcBorders>
            <w:shd w:val="clear" w:color="auto" w:fill="auto"/>
            <w:hideMark/>
          </w:tcPr>
          <w:p w14:paraId="793980FE"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2E1689B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7E91656F"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167DB46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Parity </w:t>
            </w:r>
          </w:p>
          <w:p w14:paraId="6F7D959F"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3FE1F14B"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59F29FBD"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4BE6F92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76F1A27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2EF3744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0" w:type="auto"/>
            <w:tcBorders>
              <w:top w:val="nil"/>
              <w:left w:val="nil"/>
              <w:bottom w:val="single" w:sz="4" w:space="0" w:color="auto"/>
              <w:right w:val="single" w:sz="4" w:space="0" w:color="auto"/>
            </w:tcBorders>
            <w:shd w:val="clear" w:color="auto" w:fill="auto"/>
            <w:vAlign w:val="center"/>
            <w:hideMark/>
          </w:tcPr>
          <w:p w14:paraId="4CC0534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54.74</w:t>
            </w:r>
          </w:p>
        </w:tc>
        <w:tc>
          <w:tcPr>
            <w:tcW w:w="0" w:type="auto"/>
            <w:tcBorders>
              <w:top w:val="nil"/>
              <w:left w:val="nil"/>
              <w:bottom w:val="single" w:sz="4" w:space="0" w:color="auto"/>
              <w:right w:val="single" w:sz="4" w:space="0" w:color="auto"/>
            </w:tcBorders>
            <w:shd w:val="clear" w:color="auto" w:fill="auto"/>
            <w:hideMark/>
          </w:tcPr>
          <w:p w14:paraId="0946DCCD"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r>
      <w:tr w:rsidR="00742C01" w:rsidRPr="00384232" w14:paraId="7F502AC6" w14:textId="77777777" w:rsidTr="001E4364">
        <w:trPr>
          <w:trHeight w:val="315"/>
        </w:trPr>
        <w:tc>
          <w:tcPr>
            <w:tcW w:w="0" w:type="auto"/>
            <w:vMerge/>
            <w:tcBorders>
              <w:left w:val="single" w:sz="4" w:space="0" w:color="auto"/>
              <w:right w:val="single" w:sz="4" w:space="0" w:color="auto"/>
            </w:tcBorders>
            <w:shd w:val="clear" w:color="auto" w:fill="auto"/>
            <w:hideMark/>
          </w:tcPr>
          <w:p w14:paraId="2AED3FAC"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AB075F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EAB2FD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0.11(0.16-0.6)</w:t>
            </w:r>
          </w:p>
        </w:tc>
        <w:tc>
          <w:tcPr>
            <w:tcW w:w="0" w:type="auto"/>
            <w:tcBorders>
              <w:top w:val="nil"/>
              <w:left w:val="nil"/>
              <w:bottom w:val="single" w:sz="4" w:space="0" w:color="auto"/>
              <w:right w:val="single" w:sz="4" w:space="0" w:color="auto"/>
            </w:tcBorders>
            <w:shd w:val="clear" w:color="auto" w:fill="auto"/>
            <w:hideMark/>
          </w:tcPr>
          <w:p w14:paraId="58574F81"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2891E02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38450DC9" w14:textId="77777777" w:rsidTr="001E4364">
        <w:trPr>
          <w:trHeight w:val="315"/>
        </w:trPr>
        <w:tc>
          <w:tcPr>
            <w:tcW w:w="0" w:type="auto"/>
            <w:vMerge/>
            <w:tcBorders>
              <w:left w:val="single" w:sz="4" w:space="0" w:color="auto"/>
              <w:right w:val="single" w:sz="4" w:space="0" w:color="auto"/>
            </w:tcBorders>
            <w:shd w:val="clear" w:color="auto" w:fill="auto"/>
            <w:hideMark/>
          </w:tcPr>
          <w:p w14:paraId="4185F780"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B74AFDB"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68B53E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0.082(0.079-0.4)</w:t>
            </w:r>
          </w:p>
        </w:tc>
        <w:tc>
          <w:tcPr>
            <w:tcW w:w="0" w:type="auto"/>
            <w:tcBorders>
              <w:top w:val="nil"/>
              <w:left w:val="nil"/>
              <w:bottom w:val="single" w:sz="4" w:space="0" w:color="auto"/>
              <w:right w:val="single" w:sz="4" w:space="0" w:color="auto"/>
            </w:tcBorders>
            <w:shd w:val="clear" w:color="auto" w:fill="auto"/>
            <w:hideMark/>
          </w:tcPr>
          <w:p w14:paraId="3A1E9B9C"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43448F9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0.000***</w:t>
            </w:r>
          </w:p>
        </w:tc>
      </w:tr>
      <w:tr w:rsidR="00742C01" w:rsidRPr="00384232" w14:paraId="017778CC" w14:textId="77777777" w:rsidTr="001E4364">
        <w:trPr>
          <w:trHeight w:val="315"/>
        </w:trPr>
        <w:tc>
          <w:tcPr>
            <w:tcW w:w="0" w:type="auto"/>
            <w:vMerge/>
            <w:tcBorders>
              <w:left w:val="single" w:sz="4" w:space="0" w:color="auto"/>
              <w:right w:val="single" w:sz="4" w:space="0" w:color="auto"/>
            </w:tcBorders>
            <w:shd w:val="clear" w:color="auto" w:fill="auto"/>
            <w:hideMark/>
          </w:tcPr>
          <w:p w14:paraId="4C2EBCDF"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3810A39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1606C8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0.31 (0.36-1.7)</w:t>
            </w:r>
          </w:p>
        </w:tc>
        <w:tc>
          <w:tcPr>
            <w:tcW w:w="0" w:type="auto"/>
            <w:tcBorders>
              <w:top w:val="nil"/>
              <w:left w:val="nil"/>
              <w:bottom w:val="single" w:sz="4" w:space="0" w:color="auto"/>
              <w:right w:val="single" w:sz="4" w:space="0" w:color="auto"/>
            </w:tcBorders>
            <w:shd w:val="clear" w:color="auto" w:fill="auto"/>
            <w:hideMark/>
          </w:tcPr>
          <w:p w14:paraId="1B30A2B5"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33DEB2A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0.548</w:t>
            </w:r>
          </w:p>
        </w:tc>
      </w:tr>
      <w:tr w:rsidR="00742C01" w:rsidRPr="00384232" w14:paraId="782E29BB"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hideMark/>
          </w:tcPr>
          <w:p w14:paraId="5F61E753"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9F4445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3AEF16E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0.116(0.1-0.6)</w:t>
            </w:r>
          </w:p>
        </w:tc>
        <w:tc>
          <w:tcPr>
            <w:tcW w:w="0" w:type="auto"/>
            <w:tcBorders>
              <w:top w:val="nil"/>
              <w:left w:val="nil"/>
              <w:bottom w:val="single" w:sz="4" w:space="0" w:color="auto"/>
              <w:right w:val="single" w:sz="4" w:space="0" w:color="auto"/>
            </w:tcBorders>
            <w:shd w:val="clear" w:color="auto" w:fill="auto"/>
            <w:hideMark/>
          </w:tcPr>
          <w:p w14:paraId="014E461B"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32E4376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0.002**</w:t>
            </w:r>
          </w:p>
        </w:tc>
      </w:tr>
      <w:tr w:rsidR="00742C01" w:rsidRPr="00384232" w14:paraId="55435F34"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1E03E2E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Colostrum intake  </w:t>
            </w:r>
          </w:p>
          <w:p w14:paraId="1625AD9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3E81274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Yes </w:t>
            </w:r>
          </w:p>
        </w:tc>
        <w:tc>
          <w:tcPr>
            <w:tcW w:w="0" w:type="auto"/>
            <w:tcBorders>
              <w:top w:val="nil"/>
              <w:left w:val="nil"/>
              <w:bottom w:val="single" w:sz="4" w:space="0" w:color="auto"/>
              <w:right w:val="single" w:sz="4" w:space="0" w:color="auto"/>
            </w:tcBorders>
            <w:shd w:val="clear" w:color="auto" w:fill="auto"/>
            <w:vAlign w:val="center"/>
            <w:hideMark/>
          </w:tcPr>
          <w:p w14:paraId="7BCC120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0" w:type="auto"/>
            <w:tcBorders>
              <w:top w:val="nil"/>
              <w:left w:val="nil"/>
              <w:bottom w:val="single" w:sz="4" w:space="0" w:color="auto"/>
              <w:right w:val="single" w:sz="4" w:space="0" w:color="auto"/>
            </w:tcBorders>
            <w:shd w:val="clear" w:color="auto" w:fill="auto"/>
            <w:vAlign w:val="center"/>
            <w:hideMark/>
          </w:tcPr>
          <w:p w14:paraId="5EDC647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37.4</w:t>
            </w:r>
          </w:p>
        </w:tc>
        <w:tc>
          <w:tcPr>
            <w:tcW w:w="0" w:type="auto"/>
            <w:tcBorders>
              <w:top w:val="nil"/>
              <w:left w:val="nil"/>
              <w:bottom w:val="single" w:sz="4" w:space="0" w:color="auto"/>
              <w:right w:val="single" w:sz="4" w:space="0" w:color="auto"/>
            </w:tcBorders>
            <w:shd w:val="clear" w:color="auto" w:fill="auto"/>
            <w:vAlign w:val="center"/>
            <w:hideMark/>
          </w:tcPr>
          <w:p w14:paraId="480725D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63DF6833"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hideMark/>
          </w:tcPr>
          <w:p w14:paraId="14A82D47"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12DDB90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No</w:t>
            </w:r>
          </w:p>
        </w:tc>
        <w:tc>
          <w:tcPr>
            <w:tcW w:w="0" w:type="auto"/>
            <w:tcBorders>
              <w:top w:val="nil"/>
              <w:left w:val="nil"/>
              <w:bottom w:val="single" w:sz="4" w:space="0" w:color="auto"/>
              <w:right w:val="single" w:sz="4" w:space="0" w:color="auto"/>
            </w:tcBorders>
            <w:shd w:val="clear" w:color="auto" w:fill="auto"/>
            <w:vAlign w:val="center"/>
            <w:hideMark/>
          </w:tcPr>
          <w:p w14:paraId="5F10699B"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0.217(0.13-0.36)</w:t>
            </w:r>
          </w:p>
        </w:tc>
        <w:tc>
          <w:tcPr>
            <w:tcW w:w="0" w:type="auto"/>
            <w:tcBorders>
              <w:top w:val="nil"/>
              <w:left w:val="nil"/>
              <w:bottom w:val="single" w:sz="4" w:space="0" w:color="auto"/>
              <w:right w:val="single" w:sz="4" w:space="0" w:color="auto"/>
            </w:tcBorders>
            <w:shd w:val="clear" w:color="auto" w:fill="auto"/>
            <w:hideMark/>
          </w:tcPr>
          <w:p w14:paraId="13B04943"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hideMark/>
          </w:tcPr>
          <w:p w14:paraId="6CF73CAB"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r>
      <w:tr w:rsidR="00742C01" w:rsidRPr="00384232" w14:paraId="4835E8D2"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0CAD64F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Diseases </w:t>
            </w:r>
          </w:p>
          <w:p w14:paraId="7306210D"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4D2EF612"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1DA2DE3E"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0C34B1DD"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p w14:paraId="5C982DB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551FD6A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Anthrax </w:t>
            </w:r>
          </w:p>
        </w:tc>
        <w:tc>
          <w:tcPr>
            <w:tcW w:w="0" w:type="auto"/>
            <w:tcBorders>
              <w:top w:val="nil"/>
              <w:left w:val="nil"/>
              <w:bottom w:val="single" w:sz="4" w:space="0" w:color="auto"/>
              <w:right w:val="single" w:sz="4" w:space="0" w:color="auto"/>
            </w:tcBorders>
            <w:shd w:val="clear" w:color="auto" w:fill="auto"/>
            <w:vAlign w:val="center"/>
            <w:hideMark/>
          </w:tcPr>
          <w:p w14:paraId="417A651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0" w:type="auto"/>
            <w:tcBorders>
              <w:top w:val="nil"/>
              <w:left w:val="nil"/>
              <w:bottom w:val="single" w:sz="4" w:space="0" w:color="auto"/>
              <w:right w:val="single" w:sz="4" w:space="0" w:color="auto"/>
            </w:tcBorders>
            <w:shd w:val="clear" w:color="auto" w:fill="auto"/>
            <w:vAlign w:val="center"/>
            <w:hideMark/>
          </w:tcPr>
          <w:p w14:paraId="0F85D5F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167.6</w:t>
            </w:r>
          </w:p>
        </w:tc>
        <w:tc>
          <w:tcPr>
            <w:tcW w:w="0" w:type="auto"/>
            <w:tcBorders>
              <w:top w:val="nil"/>
              <w:left w:val="nil"/>
              <w:bottom w:val="single" w:sz="4" w:space="0" w:color="auto"/>
              <w:right w:val="single" w:sz="4" w:space="0" w:color="auto"/>
            </w:tcBorders>
            <w:shd w:val="clear" w:color="auto" w:fill="auto"/>
            <w:vAlign w:val="center"/>
            <w:hideMark/>
          </w:tcPr>
          <w:p w14:paraId="1C6E22B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4C8315FD" w14:textId="77777777" w:rsidTr="001E4364">
        <w:trPr>
          <w:trHeight w:val="315"/>
        </w:trPr>
        <w:tc>
          <w:tcPr>
            <w:tcW w:w="0" w:type="auto"/>
            <w:vMerge/>
            <w:tcBorders>
              <w:left w:val="single" w:sz="4" w:space="0" w:color="auto"/>
              <w:right w:val="single" w:sz="4" w:space="0" w:color="auto"/>
            </w:tcBorders>
            <w:shd w:val="clear" w:color="auto" w:fill="auto"/>
            <w:hideMark/>
          </w:tcPr>
          <w:p w14:paraId="5731982E"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24A7F90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Ecto-parasites</w:t>
            </w:r>
          </w:p>
        </w:tc>
        <w:tc>
          <w:tcPr>
            <w:tcW w:w="0" w:type="auto"/>
            <w:tcBorders>
              <w:top w:val="nil"/>
              <w:left w:val="nil"/>
              <w:bottom w:val="single" w:sz="4" w:space="0" w:color="auto"/>
              <w:right w:val="single" w:sz="4" w:space="0" w:color="auto"/>
            </w:tcBorders>
            <w:shd w:val="clear" w:color="auto" w:fill="auto"/>
            <w:vAlign w:val="center"/>
            <w:hideMark/>
          </w:tcPr>
          <w:p w14:paraId="5B092CA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14:paraId="0A01E0FA"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05208B0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10E5BAE0" w14:textId="77777777" w:rsidTr="001E4364">
        <w:trPr>
          <w:trHeight w:val="315"/>
        </w:trPr>
        <w:tc>
          <w:tcPr>
            <w:tcW w:w="0" w:type="auto"/>
            <w:vMerge/>
            <w:tcBorders>
              <w:left w:val="single" w:sz="4" w:space="0" w:color="auto"/>
              <w:right w:val="single" w:sz="4" w:space="0" w:color="auto"/>
            </w:tcBorders>
            <w:shd w:val="clear" w:color="auto" w:fill="auto"/>
            <w:hideMark/>
          </w:tcPr>
          <w:p w14:paraId="5BEF6173"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97A711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PPR</w:t>
            </w:r>
          </w:p>
        </w:tc>
        <w:tc>
          <w:tcPr>
            <w:tcW w:w="0" w:type="auto"/>
            <w:tcBorders>
              <w:top w:val="nil"/>
              <w:left w:val="nil"/>
              <w:bottom w:val="single" w:sz="4" w:space="0" w:color="auto"/>
              <w:right w:val="single" w:sz="4" w:space="0" w:color="auto"/>
            </w:tcBorders>
            <w:shd w:val="clear" w:color="auto" w:fill="auto"/>
            <w:vAlign w:val="center"/>
            <w:hideMark/>
          </w:tcPr>
          <w:p w14:paraId="3952346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0.4(0.14-2.4)</w:t>
            </w:r>
          </w:p>
        </w:tc>
        <w:tc>
          <w:tcPr>
            <w:tcW w:w="0" w:type="auto"/>
            <w:tcBorders>
              <w:top w:val="nil"/>
              <w:left w:val="nil"/>
              <w:bottom w:val="single" w:sz="4" w:space="0" w:color="auto"/>
              <w:right w:val="single" w:sz="4" w:space="0" w:color="auto"/>
            </w:tcBorders>
            <w:shd w:val="clear" w:color="auto" w:fill="auto"/>
            <w:hideMark/>
          </w:tcPr>
          <w:p w14:paraId="21B26A6E"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54A9CB3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0.488</w:t>
            </w:r>
          </w:p>
        </w:tc>
      </w:tr>
      <w:tr w:rsidR="00742C01" w:rsidRPr="00384232" w14:paraId="1CF41309" w14:textId="77777777" w:rsidTr="001E4364">
        <w:trPr>
          <w:trHeight w:val="315"/>
        </w:trPr>
        <w:tc>
          <w:tcPr>
            <w:tcW w:w="0" w:type="auto"/>
            <w:vMerge/>
            <w:tcBorders>
              <w:left w:val="single" w:sz="4" w:space="0" w:color="auto"/>
              <w:right w:val="single" w:sz="4" w:space="0" w:color="auto"/>
            </w:tcBorders>
            <w:shd w:val="clear" w:color="auto" w:fill="auto"/>
            <w:hideMark/>
          </w:tcPr>
          <w:p w14:paraId="583ED833"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DF8F88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Anomaly </w:t>
            </w:r>
          </w:p>
        </w:tc>
        <w:tc>
          <w:tcPr>
            <w:tcW w:w="0" w:type="auto"/>
            <w:tcBorders>
              <w:top w:val="nil"/>
              <w:left w:val="nil"/>
              <w:bottom w:val="single" w:sz="4" w:space="0" w:color="auto"/>
              <w:right w:val="single" w:sz="4" w:space="0" w:color="auto"/>
            </w:tcBorders>
            <w:shd w:val="clear" w:color="auto" w:fill="auto"/>
            <w:vAlign w:val="center"/>
            <w:hideMark/>
          </w:tcPr>
          <w:p w14:paraId="5363A21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14:paraId="304D6195"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23A5713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w:t>
            </w:r>
          </w:p>
        </w:tc>
      </w:tr>
      <w:tr w:rsidR="00742C01" w:rsidRPr="00384232" w14:paraId="5C998C5E" w14:textId="77777777" w:rsidTr="001E4364">
        <w:trPr>
          <w:trHeight w:val="315"/>
        </w:trPr>
        <w:tc>
          <w:tcPr>
            <w:tcW w:w="0" w:type="auto"/>
            <w:vMerge/>
            <w:tcBorders>
              <w:left w:val="single" w:sz="4" w:space="0" w:color="auto"/>
              <w:right w:val="single" w:sz="4" w:space="0" w:color="auto"/>
            </w:tcBorders>
            <w:shd w:val="clear" w:color="auto" w:fill="auto"/>
            <w:hideMark/>
          </w:tcPr>
          <w:p w14:paraId="5A8AF684"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2020134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Diarrhea </w:t>
            </w:r>
          </w:p>
        </w:tc>
        <w:tc>
          <w:tcPr>
            <w:tcW w:w="0" w:type="auto"/>
            <w:tcBorders>
              <w:top w:val="nil"/>
              <w:left w:val="nil"/>
              <w:bottom w:val="single" w:sz="4" w:space="0" w:color="auto"/>
              <w:right w:val="single" w:sz="4" w:space="0" w:color="auto"/>
            </w:tcBorders>
            <w:shd w:val="clear" w:color="auto" w:fill="auto"/>
            <w:vAlign w:val="center"/>
            <w:hideMark/>
          </w:tcPr>
          <w:p w14:paraId="09903ECC"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0.08(0.034-0.48)</w:t>
            </w:r>
          </w:p>
        </w:tc>
        <w:tc>
          <w:tcPr>
            <w:tcW w:w="0" w:type="auto"/>
            <w:tcBorders>
              <w:top w:val="nil"/>
              <w:left w:val="nil"/>
              <w:bottom w:val="single" w:sz="4" w:space="0" w:color="auto"/>
              <w:right w:val="single" w:sz="4" w:space="0" w:color="auto"/>
            </w:tcBorders>
            <w:shd w:val="clear" w:color="auto" w:fill="auto"/>
            <w:hideMark/>
          </w:tcPr>
          <w:p w14:paraId="7DC5CDD4"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2876474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0.003**</w:t>
            </w:r>
          </w:p>
        </w:tc>
      </w:tr>
      <w:tr w:rsidR="00742C01" w:rsidRPr="00384232" w14:paraId="373F5729"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hideMark/>
          </w:tcPr>
          <w:p w14:paraId="09AACB9E"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8521B3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Immature birth </w:t>
            </w:r>
          </w:p>
        </w:tc>
        <w:tc>
          <w:tcPr>
            <w:tcW w:w="0" w:type="auto"/>
            <w:tcBorders>
              <w:top w:val="nil"/>
              <w:left w:val="nil"/>
              <w:bottom w:val="single" w:sz="4" w:space="0" w:color="auto"/>
              <w:right w:val="single" w:sz="4" w:space="0" w:color="auto"/>
            </w:tcBorders>
            <w:shd w:val="clear" w:color="auto" w:fill="auto"/>
            <w:vAlign w:val="center"/>
            <w:hideMark/>
          </w:tcPr>
          <w:p w14:paraId="00EB6E1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0.08(0.01-0.6)</w:t>
            </w:r>
          </w:p>
        </w:tc>
        <w:tc>
          <w:tcPr>
            <w:tcW w:w="0" w:type="auto"/>
            <w:tcBorders>
              <w:top w:val="nil"/>
              <w:left w:val="nil"/>
              <w:bottom w:val="single" w:sz="4" w:space="0" w:color="auto"/>
              <w:right w:val="single" w:sz="4" w:space="0" w:color="auto"/>
            </w:tcBorders>
            <w:shd w:val="clear" w:color="auto" w:fill="auto"/>
            <w:hideMark/>
          </w:tcPr>
          <w:p w14:paraId="62EA4E87"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51D36E67"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0.017**</w:t>
            </w:r>
          </w:p>
        </w:tc>
      </w:tr>
      <w:tr w:rsidR="00742C01" w:rsidRPr="00384232" w14:paraId="222E364B"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13FF8F65"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Location </w:t>
            </w:r>
          </w:p>
          <w:p w14:paraId="4E2CE4D1"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2B52F893"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Aybira</w:t>
            </w:r>
          </w:p>
        </w:tc>
        <w:tc>
          <w:tcPr>
            <w:tcW w:w="0" w:type="auto"/>
            <w:tcBorders>
              <w:top w:val="nil"/>
              <w:left w:val="nil"/>
              <w:bottom w:val="single" w:sz="4" w:space="0" w:color="auto"/>
              <w:right w:val="single" w:sz="4" w:space="0" w:color="auto"/>
            </w:tcBorders>
            <w:shd w:val="clear" w:color="auto" w:fill="auto"/>
            <w:vAlign w:val="center"/>
            <w:hideMark/>
          </w:tcPr>
          <w:p w14:paraId="2916E04B"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0" w:type="auto"/>
            <w:tcBorders>
              <w:top w:val="nil"/>
              <w:left w:val="nil"/>
              <w:bottom w:val="single" w:sz="4" w:space="0" w:color="auto"/>
              <w:right w:val="single" w:sz="4" w:space="0" w:color="auto"/>
            </w:tcBorders>
            <w:shd w:val="clear" w:color="auto" w:fill="auto"/>
            <w:vAlign w:val="center"/>
            <w:hideMark/>
          </w:tcPr>
          <w:p w14:paraId="6DA75C42"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27.6</w:t>
            </w:r>
          </w:p>
        </w:tc>
        <w:tc>
          <w:tcPr>
            <w:tcW w:w="0" w:type="auto"/>
            <w:tcBorders>
              <w:top w:val="nil"/>
              <w:left w:val="nil"/>
              <w:bottom w:val="single" w:sz="4" w:space="0" w:color="auto"/>
              <w:right w:val="single" w:sz="4" w:space="0" w:color="auto"/>
            </w:tcBorders>
            <w:shd w:val="clear" w:color="auto" w:fill="auto"/>
            <w:vAlign w:val="center"/>
            <w:hideMark/>
          </w:tcPr>
          <w:p w14:paraId="488B46F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2F93DDA4"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hideMark/>
          </w:tcPr>
          <w:p w14:paraId="61E59670" w14:textId="77777777" w:rsidR="00742C01" w:rsidRPr="00384232" w:rsidRDefault="00742C01" w:rsidP="00384232">
            <w:pPr>
              <w:rPr>
                <w:rFonts w:ascii="Times New Roman" w:eastAsia="Times New Roman" w:hAnsi="Times New Roman"/>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3FC9338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Abergelle</w:t>
            </w:r>
          </w:p>
        </w:tc>
        <w:tc>
          <w:tcPr>
            <w:tcW w:w="0" w:type="auto"/>
            <w:tcBorders>
              <w:top w:val="nil"/>
              <w:left w:val="nil"/>
              <w:bottom w:val="single" w:sz="4" w:space="0" w:color="auto"/>
              <w:right w:val="single" w:sz="4" w:space="0" w:color="auto"/>
            </w:tcBorders>
            <w:shd w:val="clear" w:color="auto" w:fill="auto"/>
            <w:vAlign w:val="center"/>
            <w:hideMark/>
          </w:tcPr>
          <w:p w14:paraId="24CBCBDE"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4.09(2.3-7.06)</w:t>
            </w:r>
          </w:p>
        </w:tc>
        <w:tc>
          <w:tcPr>
            <w:tcW w:w="0" w:type="auto"/>
            <w:tcBorders>
              <w:top w:val="nil"/>
              <w:left w:val="nil"/>
              <w:bottom w:val="single" w:sz="4" w:space="0" w:color="auto"/>
              <w:right w:val="single" w:sz="4" w:space="0" w:color="auto"/>
            </w:tcBorders>
            <w:shd w:val="clear" w:color="auto" w:fill="auto"/>
            <w:hideMark/>
          </w:tcPr>
          <w:p w14:paraId="3958D219"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c>
          <w:tcPr>
            <w:tcW w:w="0" w:type="auto"/>
            <w:tcBorders>
              <w:top w:val="nil"/>
              <w:left w:val="nil"/>
              <w:bottom w:val="single" w:sz="4" w:space="0" w:color="auto"/>
              <w:right w:val="single" w:sz="4" w:space="0" w:color="auto"/>
            </w:tcBorders>
            <w:shd w:val="clear" w:color="auto" w:fill="auto"/>
            <w:hideMark/>
          </w:tcPr>
          <w:p w14:paraId="1F80E9BE" w14:textId="77777777" w:rsidR="00742C01" w:rsidRPr="00384232" w:rsidRDefault="00742C01" w:rsidP="00384232">
            <w:pPr>
              <w:rPr>
                <w:rFonts w:ascii="Times New Roman" w:eastAsia="Times New Roman" w:hAnsi="Times New Roman"/>
                <w:color w:val="000000"/>
              </w:rPr>
            </w:pPr>
            <w:r w:rsidRPr="00384232">
              <w:rPr>
                <w:rFonts w:ascii="Times New Roman" w:eastAsia="Times New Roman" w:hAnsi="Times New Roman"/>
                <w:color w:val="000000"/>
              </w:rPr>
              <w:t> </w:t>
            </w:r>
          </w:p>
        </w:tc>
      </w:tr>
      <w:tr w:rsidR="00742C01" w:rsidRPr="00384232" w14:paraId="2214C2BF" w14:textId="77777777" w:rsidTr="001E4364">
        <w:trPr>
          <w:trHeight w:val="315"/>
        </w:trPr>
        <w:tc>
          <w:tcPr>
            <w:tcW w:w="0" w:type="auto"/>
            <w:vMerge w:val="restart"/>
            <w:tcBorders>
              <w:top w:val="nil"/>
              <w:left w:val="single" w:sz="4" w:space="0" w:color="auto"/>
              <w:right w:val="single" w:sz="4" w:space="0" w:color="auto"/>
            </w:tcBorders>
            <w:shd w:val="clear" w:color="auto" w:fill="auto"/>
            <w:vAlign w:val="center"/>
            <w:hideMark/>
          </w:tcPr>
          <w:p w14:paraId="56AA9838"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Treatment </w:t>
            </w:r>
          </w:p>
          <w:p w14:paraId="699E8CA9"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28713F4"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No </w:t>
            </w:r>
          </w:p>
        </w:tc>
        <w:tc>
          <w:tcPr>
            <w:tcW w:w="0" w:type="auto"/>
            <w:tcBorders>
              <w:top w:val="nil"/>
              <w:left w:val="nil"/>
              <w:bottom w:val="single" w:sz="4" w:space="0" w:color="auto"/>
              <w:right w:val="single" w:sz="4" w:space="0" w:color="auto"/>
            </w:tcBorders>
            <w:shd w:val="clear" w:color="auto" w:fill="auto"/>
            <w:vAlign w:val="center"/>
            <w:hideMark/>
          </w:tcPr>
          <w:p w14:paraId="131521F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xml:space="preserve">Reference </w:t>
            </w:r>
          </w:p>
        </w:tc>
        <w:tc>
          <w:tcPr>
            <w:tcW w:w="0" w:type="auto"/>
            <w:tcBorders>
              <w:top w:val="nil"/>
              <w:left w:val="nil"/>
              <w:bottom w:val="single" w:sz="4" w:space="0" w:color="auto"/>
              <w:right w:val="single" w:sz="4" w:space="0" w:color="auto"/>
            </w:tcBorders>
            <w:shd w:val="clear" w:color="auto" w:fill="auto"/>
            <w:vAlign w:val="center"/>
            <w:hideMark/>
          </w:tcPr>
          <w:p w14:paraId="2CC53F5A"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30.5</w:t>
            </w:r>
          </w:p>
        </w:tc>
        <w:tc>
          <w:tcPr>
            <w:tcW w:w="0" w:type="auto"/>
            <w:tcBorders>
              <w:top w:val="nil"/>
              <w:left w:val="nil"/>
              <w:bottom w:val="single" w:sz="4" w:space="0" w:color="auto"/>
              <w:right w:val="single" w:sz="4" w:space="0" w:color="auto"/>
            </w:tcBorders>
            <w:shd w:val="clear" w:color="auto" w:fill="auto"/>
            <w:vAlign w:val="center"/>
            <w:hideMark/>
          </w:tcPr>
          <w:p w14:paraId="261C2DC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0.001**</w:t>
            </w:r>
          </w:p>
        </w:tc>
      </w:tr>
      <w:tr w:rsidR="00742C01" w:rsidRPr="00384232" w14:paraId="5CE51FB7" w14:textId="77777777" w:rsidTr="001E4364">
        <w:trPr>
          <w:trHeight w:val="315"/>
        </w:trPr>
        <w:tc>
          <w:tcPr>
            <w:tcW w:w="0" w:type="auto"/>
            <w:vMerge/>
            <w:tcBorders>
              <w:left w:val="single" w:sz="4" w:space="0" w:color="auto"/>
              <w:bottom w:val="single" w:sz="4" w:space="0" w:color="auto"/>
              <w:right w:val="single" w:sz="4" w:space="0" w:color="auto"/>
            </w:tcBorders>
            <w:shd w:val="clear" w:color="auto" w:fill="auto"/>
            <w:vAlign w:val="center"/>
            <w:hideMark/>
          </w:tcPr>
          <w:p w14:paraId="117FED9C" w14:textId="77777777" w:rsidR="00742C01" w:rsidRPr="00384232" w:rsidRDefault="00742C01" w:rsidP="00384232">
            <w:pPr>
              <w:rPr>
                <w:rFonts w:ascii="Times New Roman" w:eastAsia="Times New Roman" w:hAnsi="Times New Roman"/>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73CB3370"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yes</w:t>
            </w:r>
          </w:p>
        </w:tc>
        <w:tc>
          <w:tcPr>
            <w:tcW w:w="0" w:type="auto"/>
            <w:tcBorders>
              <w:top w:val="nil"/>
              <w:left w:val="nil"/>
              <w:bottom w:val="single" w:sz="4" w:space="0" w:color="auto"/>
              <w:right w:val="single" w:sz="4" w:space="0" w:color="auto"/>
            </w:tcBorders>
            <w:shd w:val="clear" w:color="auto" w:fill="auto"/>
            <w:vAlign w:val="center"/>
            <w:hideMark/>
          </w:tcPr>
          <w:p w14:paraId="5581519D"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0.14(0.06-0.3)</w:t>
            </w:r>
          </w:p>
        </w:tc>
        <w:tc>
          <w:tcPr>
            <w:tcW w:w="0" w:type="auto"/>
            <w:tcBorders>
              <w:top w:val="nil"/>
              <w:left w:val="nil"/>
              <w:bottom w:val="single" w:sz="4" w:space="0" w:color="auto"/>
              <w:right w:val="single" w:sz="4" w:space="0" w:color="auto"/>
            </w:tcBorders>
            <w:shd w:val="clear" w:color="auto" w:fill="auto"/>
            <w:vAlign w:val="center"/>
            <w:hideMark/>
          </w:tcPr>
          <w:p w14:paraId="5D24CC86"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67C71E5F" w14:textId="77777777" w:rsidR="00742C01" w:rsidRPr="00384232" w:rsidRDefault="00742C01" w:rsidP="00384232">
            <w:pPr>
              <w:rPr>
                <w:rFonts w:ascii="Times New Roman" w:eastAsia="Times New Roman" w:hAnsi="Times New Roman"/>
                <w:color w:val="000000"/>
                <w:sz w:val="24"/>
                <w:szCs w:val="24"/>
              </w:rPr>
            </w:pPr>
            <w:r w:rsidRPr="00384232">
              <w:rPr>
                <w:rFonts w:ascii="Times New Roman" w:eastAsia="Times New Roman" w:hAnsi="Times New Roman"/>
                <w:color w:val="000000"/>
                <w:sz w:val="24"/>
                <w:szCs w:val="24"/>
              </w:rPr>
              <w:t> </w:t>
            </w:r>
          </w:p>
        </w:tc>
      </w:tr>
    </w:tbl>
    <w:p w14:paraId="5CFE9D53"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6DED61E1" w14:textId="77777777" w:rsidR="00742C01" w:rsidRPr="00384232" w:rsidRDefault="00742C01" w:rsidP="00384232">
      <w:pPr>
        <w:widowControl w:val="0"/>
        <w:autoSpaceDE w:val="0"/>
        <w:autoSpaceDN w:val="0"/>
        <w:rPr>
          <w:rFonts w:ascii="Times New Roman" w:eastAsia="Times New Roman" w:hAnsi="Times New Roman"/>
          <w:sz w:val="24"/>
          <w:szCs w:val="24"/>
        </w:rPr>
        <w:sectPr w:rsidR="00742C01" w:rsidRPr="00384232" w:rsidSect="00384232">
          <w:type w:val="continuous"/>
          <w:pgSz w:w="11907" w:h="16839" w:code="9"/>
          <w:pgMar w:top="1440" w:right="1440" w:bottom="1440" w:left="1440" w:header="720" w:footer="720" w:gutter="0"/>
          <w:cols w:space="720"/>
          <w:docGrid w:linePitch="360"/>
        </w:sectPr>
      </w:pPr>
    </w:p>
    <w:p w14:paraId="2EE65DEF" w14:textId="0F98A48D"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The study found that doe at parity one (reference) had a higher chance of its kid to die than parity three, four, and five (Table 2), which is associated with lower milk feeding capabilities, leading to lower survival rates for kids. Additionally, colostrum intake immediately after birth was found significantly influenced the survival of kids than not received (P&lt;0.001). Any deficiencies in this regard may increase their vulnerability to diseases. Previous study reports have shown that if newborns consume colostrum within the first few hours after birth, before the closure of their gut, they receive essential maternal antibodies that provide protection against a wide range of infections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{"citationItems":[{"id":"ITEM-1","itemData":{"DOI":"10.1017/S1751731119003148","ISSN":"1751732X","PMID":"32024575","abstract":"Feeding management of the postnatal and preweaning calf has an important impact on calf growth and development during this critical period and affects the health and well-being of the calves. After birth, an immediate and sufficient colostrum supply is a prerequisite for successful calf rearing. Colostrum provides high amounts of nutrient as well as non-nutrient factors that promote the immune system and intestinal maturation of the calf. The maturation and function of the neonatal intestine enable the calf to digest and absorb the nutrients provided by colostrum and milk. Therefore, colostrum intake supports the start of anabolic processes in several tissues, stimulating postnatal body growth and organ development. After the colostrum feeding period, an intensive milk feeding protocol, that is, at least 20% of BW milk intake/day, is required to realise the calf potential for growth and organ development during the preweaning period. Insufficient milk intake delays postnatal growth and may have detrimental effects on organ development, for example, the intestine and the mammary gland. The somatotropic axis as the main postnatal endocrine regulatory system for body growth is stimulated by the intake of high amounts of colostrum and milk and indicates the promotion of anabolic metabolism in calves. The development of the forestomach is an important issue during the preweaning period in calves, and forestomach maturation is best achieved by solid feed intake. Unfortunately, intensive milk-feeding programmes compromise solid feed intake during the first weeks of life. In the more natural situation for beef calves, when milk and solid feed intake occurs at the same time, calves benefit from the high milk intake as evidenced by enhanced body growth and organ maturation without impaired forestomach development during weaning. To realise an intensive milk-feeding programme, it is recommended that the weaning process should not start too early and that solid feed intake should be at a high extent despite intensive milk feeding. A feeding concept based on intensive milk feeding prevents hunger and abnormal behaviour of the calves and fits the principles of animal welfare during preweaning calf rearing. Studies on milk performance in dairy cows indicate that feeding management during early calf rearing influences lifetime performance. Therefore, an intensive milk-feeding programme affects immediate as well as long-term performance, probably by programming metaboli…","author":[{"dropping-particle":"","family":"Hammon","given":"H. M.","non-dropping-particle":"","parse-names":false,"suffix":""},{"dropping-particle":"","family":"Liermann","given":"W.","non-dropping-particle":"","parse-names":false,"suffix":""},{"dropping-particle":"","family":"Frieten","given":"D.","non-dropping-particle":"","parse-names":false,"suffix":""},{"dropping-particle":"","family":"Koch","given":"C.","non-dropping-particle":"","parse-names":false,"suffix":""}],"container-title":"Animal","id":"ITEM-1","issue":"S1","issued":{"date-parts":[["2020"]]},"page":"S133-S143","publisher":"Elsevier","title":"Review: Importance of colostrum supply and milk feeding intensity on gastrointestinal and systemic development in calves","type":"article-journal","volume":"14"},"uris":["http://www.mendeley.com/documents/?uuid=354bebbc-8323-4d52-971b-50a41fa1807c"]},{"id":"ITEM-2","itemData":{"DOI":"10.24911/sjp.106-1540825552","ISBN":"1061540825552","ISSN":"0256-4408","abstract":"The current study aims to compare the feeding outcome, morbidity and mortality in very low birth weight (VLBW) infants who received early colostrum (&lt;12 hours of life) and those who did not. All VLBW infants admitted to neonatal intensive care unit (NICU) were eligible for the study. Eligible infants were enrolled after obtaining written informed consent from either of the parents. Newborns who received colostrum within the first 12 hours after birth formed the study cohort and all others the control cohort. Both cohorts were followed till discharge from NICU. During the study period, 205 VLBW infants were admitted in NICU of whom 171 (83%) infants were enrolled in the study. Both study groups were comparable for mean birth weight, mean gestation and male sex. The proportion of infants with abnormal Doppler was significantly higher in the control group. All outcomes were adjusted for antenatal Doppler abnormalities. The primary outcome of time to reach full feeds in the study population was 6.90 ± 4.4 days as compared to 9.80 ± 4.86 days in the control group with a significant weighted mean difference of −2.4 (−0.8 to −3.9) days. Duration of total parenteral nutrition (TPN) days and mortality were all lower in the study cohort. Risk of sepsis and necrotising enterocolitis was similar in the both groups. Enteral colostrum within first 12 hours of birth in VLBW infants reduces the time to reach full feeds, TPN days and mortality.","author":[{"dropping-particle":"","family":"Bashir","given":"Tanveer","non-dropping-particle":"","parse-names":false,"suffix":""},{"dropping-particle":"","family":"Reddy","given":"Kallem","non-dropping-particle":"","parse-names":false,"suffix":""},{"dropping-particle":"","family":"Kiran","given":"Sai","non-dropping-particle":"","parse-names":false,"suffix":""},{"dropping-particle":"","family":"Murki","given":"Srinivas","non-dropping-particle":"","parse-names":false,"suffix":""},{"dropping-particle":"","family":"Kulkarni","given":"Dattatray","non-dropping-particle":"","parse-names":false,"suffix":""},{"dropping-particle":"","family":"Dinesh","given":"Pawale","non-dropping-particle":"","parse-names":false,"suffix":""}],"container-title":"Sudanese Journal of Paediatrics","id":"ITEM-2","issue":"1","issued":{"date-parts":[["2019"]]},"page":"19-24","title":"Effect of colostrum given within the 12 hours after birth on feeding outcome, morbidity and mortality in very low birth weight infants: a prospective cohort study","type":"article-journal","volume":"19"},"uris":["http://www.mendeley.com/documents/?uuid=44d040dd-fb88-4288-a036-0e973901713a"]}],"mendeley":{"formattedCitation":"(Bashir et al., 2019; Hammon et al., 2020)","plainTextFormattedCitation":"(Bashir et al., 2019; Hammon et al., 2020)","previouslyFormattedCitation":"(Bashir et al., 2019; Hammon et al., 2020)"},"properties":{"noteIndex":0},"schema":"https://github.com/citation-style-language/schema/raw/master/csl-citation.json"}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(Bashir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2019; Hammon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2020)</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This early immunity boost significantly reduces the mortality rate among kids and improves their chances of reaching weaning age successfully. Year wise, the mortality rate in 2017 was higher </w:t>
      </w:r>
      <w:r w:rsidRPr="00384232">
        <w:rPr>
          <w:rFonts w:ascii="Times New Roman" w:eastAsia="Times New Roman" w:hAnsi="Times New Roman"/>
          <w:sz w:val="24"/>
          <w:szCs w:val="24"/>
        </w:rPr>
        <w:t xml:space="preserve">than the rest of the other years. This could be due to the number of studied animals in this year were lower than others. The finding suggests a significant increase in the prevalence of diseases during baseline year compared to 2019 (P = 0.001). </w:t>
      </w:r>
    </w:p>
    <w:p w14:paraId="56AE5910" w14:textId="77777777" w:rsidR="00742C01" w:rsidRPr="00384232" w:rsidRDefault="00742C01" w:rsidP="00384232">
      <w:pPr>
        <w:widowControl w:val="0"/>
        <w:autoSpaceDE w:val="0"/>
        <w:autoSpaceDN w:val="0"/>
        <w:rPr>
          <w:rFonts w:ascii="Times New Roman" w:eastAsia="Times New Roman" w:hAnsi="Times New Roman"/>
          <w:sz w:val="24"/>
          <w:szCs w:val="24"/>
        </w:rPr>
      </w:pPr>
    </w:p>
    <w:p w14:paraId="799BA056"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This could be because the number of animals studied this year was lower than in others, resulting in a smaller sample size. Additionally, external factors such as changes in environmental conditions or the presence of diseases could have influenced the mortality rate. Mortality was significantly influenced by location, such that it was higher in Abergelle than at the Ayibra site (P= 0.001) which was supported by other previous reports of kid mortality at different locations </w:t>
      </w: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ADDIN CSL_CITATION {"citationItems":[{"id":"ITEM-1","itemData":{"author":[{"dropping-particle":"","family":"Sharif","given":"Labib","non-dropping-particle":"","parse-names":false,"suffix":""},{"dropping-particle":"","family":"Al-ani","given":"Falah","non-dropping-particle":"","parse-names":false,"suffix":""}],"container-title":"BJVM","id":"ITEM-1","issue":"October","issued":{"date-parts":[["2015"]]},"page":"100-108","title":"Risk factors for lamb and kid mortality in sheep and goat farms in Jordan RISK FACTORS FOR LAMB AND KID MORTALITY IN","type":"article-journal","volume":"8(2)"},"uris":["http://www.mendeley.com/documents/?uuid=61676682-1290-43d4-8140-282802c519e2"]},{"id":"ITEM-2","itemData":{"author":[{"dropping-particle":"","family":"Tsegaye","given":"Dereje","non-dropping-particle":"","parse-names":false,"suffix":""},{"dropping-particle":"","family":"Belay","given":"Berhanu","non-dropping-particle":"","parse-names":false,"suffix":""},{"dropping-particle":"","family":"Haile","given":"Aynalem","non-dropping-particle":"","parse-names":false,"suffix":""}],"container-title":"Journal of Scientific and Innovative Research","id":"ITEM-2","issue":"January","issued":{"date-parts":[["2013"]]},"page":"680-688","title":"Prevalence of Major Goat Diseases and Mortality of Goat in Daro-Labu District Prevalence of Major Goat Diseases and Mortality of Goat in Daro-Labu District of West Hararghe , Eastern Ethiopia","type":"article-journal","volume":"2(3)"},"uris":["http://www.mendeley.com/documents/?uuid=1b52de55-22b6-438e-bb3c-3d94aac1be75"]},{"id":"ITEM-3","itemData":{"DOI":"10.5829/idosi.gv.2017.168.177","abstract":"The user has requested enhancement of the downloaded file.","author":[{"dropping-particle":"","family":"Tifashe","given":"Merkine","non-dropping-particle":"","parse-names":false,"suffix":""},{"dropping-particle":"","family":"Hassan","given":"Ahamed","non-dropping-particle":"","parse-names":false,"suffix":""},{"dropping-particle":"","family":"Herago","given":"Tamirat","non-dropping-particle":"","parse-names":false,"suffix":""},{"dropping-particle":"","family":"Tesfamariam","given":"Gebregeorgis","non-dropping-particle":"","parse-names":false,"suffix":""}],"container-title":"Global Veterinaria","id":"ITEM-3","issue":"3","issued":{"date-parts":[["2017"]]},"page":"168-177","title":"Analysis of Morbidity and Mortality of Sheep and Goat in Wolaita Soddo Zuria District, Southern Ethiopia","type":"article-journal","volume":"18"},"uris":["http://www.mendeley.com/documents/?uuid=f4b42ef0-4c05-4a9e-a0d0-2c2a478d8b32"]},{"id":"ITEM-4","itemData":{"ISSN":"01213784","abstract":"Central Highland Goats were crossed with Boer to evaluate productivity, reproduction potential, and disease incidence and to assess their suitability for meat production by small-scale farmers and households in Ethiopia. The study was conducted in Debre Birhan Agricultural Research Centre; Ataye Boer Nucleus Site from January 2016 to December 2018 to determine the rate of kid mortality and associated risk factors of kid survival. The data were collected from the reproductive and mortality register book. A total of 300 kids were documented during the time period, which were analyzed to assess the importance of the existing cause of kid mortality and survival. Agalactia was the primary health problem and cause of mortality in the study site. Survival rates were less for kids with birth weighs below 1.9 kg, for increasing size of the litter and for female compared with male kids.","author":[{"dropping-particle":"","family":"Alemnew","given":"E.","non-dropping-particle":"","parse-names":false,"suffix":""},{"dropping-particle":"","family":"Yitagesu","given":"E.","non-dropping-particle":"","parse-names":false,"suffix":""},{"dropping-particle":"","family":"Goshme","given":"S.","non-dropping-particle":"","parse-names":false,"suffix":""},{"dropping-particle":"","family":"Aydefruhim","given":"D.","non-dropping-particle":"","parse-names":false,"suffix":""}],"container-title":"Livestock Research for Rural Development","id":"ITEM-4","issue":"7","issued":{"date-parts":[["2020"]]},"title":"Retrospective study on kid mortality and associated risk factors of kid survival of newly introduced Boer goat breed in North Shewa Ethiopia","type":"article-journal","volume":"32"},"uris":["http://www.mendeley.com/documents/?uuid=ccf38a54-3a46-400b-9942-78b07c5dba0f"]},{"id":"ITEM-5","itemData":{"DOI":"10.1002/vms3.876","ISSN":"20531095","PMID":"35810464","abstract":"Background: Analysis of survival data by linear or logistic model ignores censoring and skewness inherent in the mortality data. The objective of this study is to estimate the morbidity and mortality rates of kids and adult goats, identify important risk factors for mortality using survival analysis and summarise important causes of goat death. Methods: Nonparametric survival analysis and a piecewise exponential model (PEM) were used. Results: The mortality rates of kids and adult goats were 0.629 and 0.302 per animal year, respectively. The 25th, 50th and 75th percentiles of survival time of kids were 5, 162 and 1300 days, respectively, and those of adults and goats were 280, 828 and 1,735 days, respectively. Gastrointestinal-related diseases, pneumonia, weak kid, agalactia, mismothering and heartwater (cowdriosis) were the most important causes of mortality. Constant piecewise exponential regression analysis of risk factors indicated that breed, kid birth weight, doe post-partum weight (PPWT), birth type, birth year and precipitation variables were associated with (p-value &lt; 0.05) kid mortality rate. Pure Boer kids compared with Central Highland goat cross with Boer goats were 2.505 times at a higher probability of mortality (p-value &lt; 0.001). A 1-kg increase in kid birth weight and dam PPWT reduces mortality probability by 32.5% (p-value = 0.000) and 6.4% (p-value &lt; 0.001), respectively. Twin birth kids had a 1.512 times higher rate of mortality (p-value = 0.001) than single-born kids. A 1-ml increment of 15 days of average precipitation significantly reduced kid mortality by 7.8% (p-value &lt; 0.001). Conclusion: Vaccination, extensive control of ticks and the use of proper comfortable housing to reduce the stress of goats are recommended. Scheduling a mating programme (May to early July) to match the kidding period to the less kid mortality seasons (end of the long rainy season) of flocks is also important to reduce kid mortality.","author":[{"dropping-particle":"","family":"Yitagesu","given":"Erdachew","non-dropping-particle":"","parse-names":false,"suffix":""},{"dropping-particle":"","family":"Alemnew","given":"Enyiew","non-dropping-particle":"","parse-names":false,"suffix":""}],"container-title":"Veterinary Medicine and Science","id":"ITEM-5","issue":"5","issued":{"date-parts":[["2022"]]},"page":"2183-2193","title":"Mortality rate of Boer, Central Highland goat and their crosses in Ethiopia: Nonparametric survival analysis and piecewise exponential model","type":"article-journal","volume":"8"},"uris":["http://www.mendeley.com/documents/?uuid=8aa8e86e-d9ca-4e4d-9ff8-e211819e15cb"]}],"mendeley":{"formattedCitation":"(Alemnew et al., 2020; Sharif &amp; Al-ani, 2015; Tifashe et al., 2017; Tsegaye et al., 2013b; Yitagesu &amp; Alemnew, 2022)","manualFormatting":"(Tsegaye et al., 2013 Sharif &amp; Al-ani, 2015; Tifashe et al., 2017; Alemnew et al., 2020;; Yitagesu &amp; Alemnew, 2022)","plainTextFormattedCitation":"(Alemnew et al., 2020; Sharif &amp; Al-ani, 2015; Tifashe et al., 2017; Tsegaye et al., 2013b; Yitagesu &amp; Alemnew, 2022)"},"properties":{"noteIndex":0},"schema":"https://github.com/citation-style-language/schema/raw/master/csl-citation.json"}</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(Tsegaye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2013 Sharif and Al-ani 2015; Tifashe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2017; Alemnew </w:t>
      </w:r>
      <w:r w:rsidRPr="00384232">
        <w:rPr>
          <w:rFonts w:ascii="Times New Roman" w:eastAsia="Times New Roman" w:hAnsi="Times New Roman"/>
          <w:i/>
          <w:noProof/>
          <w:sz w:val="24"/>
          <w:szCs w:val="24"/>
        </w:rPr>
        <w:t>et al</w:t>
      </w:r>
      <w:r w:rsidRPr="00384232">
        <w:rPr>
          <w:rFonts w:ascii="Times New Roman" w:eastAsia="Times New Roman" w:hAnsi="Times New Roman"/>
          <w:noProof/>
          <w:sz w:val="24"/>
          <w:szCs w:val="24"/>
        </w:rPr>
        <w:t xml:space="preserve"> 2020; Yitagesu and Alemnew 2022)</w:t>
      </w:r>
      <w:r w:rsidRPr="00384232">
        <w:rPr>
          <w:rFonts w:ascii="Times New Roman" w:eastAsia="Times New Roman" w:hAnsi="Times New Roman"/>
          <w:sz w:val="24"/>
          <w:szCs w:val="24"/>
        </w:rPr>
        <w:fldChar w:fldCharType="end"/>
      </w:r>
      <w:r w:rsidRPr="00384232">
        <w:rPr>
          <w:rFonts w:ascii="Times New Roman" w:eastAsia="Times New Roman" w:hAnsi="Times New Roman"/>
          <w:sz w:val="24"/>
          <w:szCs w:val="24"/>
        </w:rPr>
        <w:t xml:space="preserve">. This could be due to intensive follow up of newborns in Ayibra </w:t>
      </w:r>
      <w:r w:rsidRPr="00384232">
        <w:rPr>
          <w:rFonts w:ascii="Times New Roman" w:eastAsia="Times New Roman" w:hAnsi="Times New Roman"/>
          <w:sz w:val="24"/>
          <w:szCs w:val="24"/>
        </w:rPr>
        <w:lastRenderedPageBreak/>
        <w:t>since it is the farm responsible for the generation of Buck to other locations. Feed availability and seasonal harshness can be also considered reasons for variations in disease occurrence. Besides, the numbers of newborns in Abergelle were higher than in Ayibra, so the flock size difference between these two locations may be another reason for the difference in mortality rate. Additionally, Abergelle experienced harsh weather conditions during the study period, which could have contributed to the higher mortality rate. On the other hand, Ayibra had better infrastructure and facilities, providing a more conducive environment for the newborns and thereby reducing the mortality rate. Overall, a combination of factors such as intensive follow-up, flock size differences, and weather conditions likely influenced the disparity in mortality rates between the two sites.  The higher mortality rate in Abergelle suggests that there may be a need for improved healthcare infrastructure and resources in that area.</w:t>
      </w:r>
    </w:p>
    <w:p w14:paraId="6263082A" w14:textId="77777777" w:rsidR="00742C01" w:rsidRPr="00384232" w:rsidRDefault="00742C01" w:rsidP="00384232">
      <w:pPr>
        <w:widowControl w:val="0"/>
        <w:autoSpaceDE w:val="0"/>
        <w:autoSpaceDN w:val="0"/>
        <w:rPr>
          <w:rFonts w:ascii="Times New Roman" w:eastAsia="Times New Roman" w:hAnsi="Times New Roman"/>
          <w:color w:val="252525"/>
          <w:sz w:val="24"/>
          <w:szCs w:val="24"/>
          <w:shd w:val="clear" w:color="auto" w:fill="FFFFFF"/>
        </w:rPr>
      </w:pPr>
    </w:p>
    <w:p w14:paraId="0C3D15F1" w14:textId="269626E6" w:rsidR="00742C01" w:rsidRPr="00384232" w:rsidRDefault="00742C01" w:rsidP="00384232">
      <w:pPr>
        <w:pStyle w:val="ListParagraph"/>
        <w:widowControl w:val="0"/>
        <w:numPr>
          <w:ilvl w:val="0"/>
          <w:numId w:val="33"/>
        </w:numPr>
        <w:autoSpaceDE w:val="0"/>
        <w:autoSpaceDN w:val="0"/>
        <w:spacing w:after="240"/>
        <w:ind w:firstLineChars="0"/>
        <w:rPr>
          <w:rFonts w:ascii="Times New Roman" w:eastAsia="Times New Roman" w:hAnsi="Times New Roman"/>
          <w:b/>
          <w:bCs/>
          <w:sz w:val="24"/>
          <w:szCs w:val="24"/>
        </w:rPr>
      </w:pPr>
      <w:r w:rsidRPr="00384232">
        <w:rPr>
          <w:rFonts w:ascii="Times New Roman" w:eastAsia="Times New Roman" w:hAnsi="Times New Roman"/>
          <w:b/>
          <w:bCs/>
          <w:sz w:val="24"/>
          <w:szCs w:val="24"/>
        </w:rPr>
        <w:t xml:space="preserve">CONCLUSION </w:t>
      </w:r>
    </w:p>
    <w:p w14:paraId="1E7F7A7F"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 xml:space="preserve">The study identified that ectoparasite infestation, diarrheal cases, and Pest des petits ruminants were the major causes of kid morbidity in the Abergelle goat breed.  Besides PPR, diarrhea and anthrax were the primary causes of death in kids. Colostrum intake, parity, season and year of birth, and location significantly influenced the occurrence of diseases. These findings highlight the need for effective control measures against ectoparasites and the implementation of proper hygiene practices to prevent diarrheal cases in the Abergelle goat breed. Furthermore, it is crucial to prioritize the vaccination of kids against PPR, and anthrax to reduce mortality rates and ensure the overall health of the kids. Disease symptoms like diarrhea need further detailed etiologic identification studies. By addressing these major causes </w:t>
      </w:r>
      <w:r w:rsidRPr="00384232">
        <w:rPr>
          <w:rFonts w:ascii="Times New Roman" w:eastAsia="Times New Roman" w:hAnsi="Times New Roman"/>
          <w:sz w:val="24"/>
          <w:szCs w:val="24"/>
        </w:rPr>
        <w:t>of morbidity and mortality, the Abergelle goat breed can thrive and contribute to the sustainable development of the livestock industry.</w:t>
      </w:r>
    </w:p>
    <w:p w14:paraId="1B8B199B"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4261FD04" w14:textId="77777777" w:rsidR="00742C01" w:rsidRPr="00384232" w:rsidRDefault="00742C01" w:rsidP="00384232">
      <w:pPr>
        <w:widowControl w:val="0"/>
        <w:autoSpaceDE w:val="0"/>
        <w:autoSpaceDN w:val="0"/>
        <w:spacing w:after="240"/>
        <w:rPr>
          <w:rFonts w:ascii="Times New Roman" w:eastAsia="Times New Roman" w:hAnsi="Times New Roman"/>
          <w:b/>
          <w:bCs/>
          <w:sz w:val="24"/>
          <w:szCs w:val="24"/>
        </w:rPr>
      </w:pPr>
      <w:r w:rsidRPr="00384232">
        <w:rPr>
          <w:rFonts w:ascii="Times New Roman" w:eastAsia="Times New Roman" w:hAnsi="Times New Roman"/>
          <w:b/>
          <w:bCs/>
          <w:sz w:val="24"/>
          <w:szCs w:val="24"/>
        </w:rPr>
        <w:t>ACKNOWLEDGMENTS</w:t>
      </w:r>
    </w:p>
    <w:p w14:paraId="443454A6" w14:textId="77777777" w:rsidR="00742C01" w:rsidRPr="00384232" w:rsidRDefault="00742C01" w:rsidP="00384232">
      <w:pPr>
        <w:widowControl w:val="0"/>
        <w:autoSpaceDE w:val="0"/>
        <w:autoSpaceDN w:val="0"/>
        <w:rPr>
          <w:rFonts w:ascii="Times New Roman" w:eastAsia="Times New Roman" w:hAnsi="Times New Roman"/>
          <w:sz w:val="24"/>
          <w:szCs w:val="24"/>
        </w:rPr>
      </w:pPr>
      <w:r w:rsidRPr="00384232">
        <w:rPr>
          <w:rFonts w:ascii="Times New Roman" w:eastAsia="Times New Roman" w:hAnsi="Times New Roman"/>
          <w:sz w:val="24"/>
          <w:szCs w:val="24"/>
        </w:rPr>
        <w:t>The author would like to acknowledge Amhara Regional Agricultural Research Institute for the financial fund and all the necessary facilities to the completion of this work.</w:t>
      </w:r>
    </w:p>
    <w:p w14:paraId="26A0481C" w14:textId="77777777" w:rsidR="00742C01" w:rsidRPr="00384232" w:rsidRDefault="00742C01" w:rsidP="00384232">
      <w:pPr>
        <w:widowControl w:val="0"/>
        <w:autoSpaceDE w:val="0"/>
        <w:autoSpaceDN w:val="0"/>
        <w:rPr>
          <w:rFonts w:ascii="Times New Roman" w:eastAsia="Times New Roman" w:hAnsi="Times New Roman"/>
          <w:b/>
          <w:bCs/>
          <w:sz w:val="24"/>
          <w:szCs w:val="24"/>
        </w:rPr>
      </w:pPr>
    </w:p>
    <w:p w14:paraId="6DFB31E9" w14:textId="77777777" w:rsidR="00742C01" w:rsidRPr="00384232" w:rsidRDefault="00742C01" w:rsidP="00384232">
      <w:pPr>
        <w:widowControl w:val="0"/>
        <w:autoSpaceDE w:val="0"/>
        <w:autoSpaceDN w:val="0"/>
        <w:spacing w:after="240"/>
        <w:rPr>
          <w:rFonts w:ascii="Times New Roman" w:eastAsia="Times New Roman" w:hAnsi="Times New Roman"/>
          <w:b/>
          <w:bCs/>
          <w:sz w:val="24"/>
          <w:szCs w:val="24"/>
        </w:rPr>
      </w:pPr>
      <w:r w:rsidRPr="00384232">
        <w:rPr>
          <w:rFonts w:ascii="Times New Roman" w:eastAsia="Times New Roman" w:hAnsi="Times New Roman"/>
          <w:b/>
          <w:bCs/>
          <w:sz w:val="24"/>
          <w:szCs w:val="24"/>
        </w:rPr>
        <w:t xml:space="preserve">REFERENCE </w:t>
      </w:r>
    </w:p>
    <w:p w14:paraId="58B6AC62"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sz w:val="24"/>
          <w:szCs w:val="24"/>
        </w:rPr>
        <w:fldChar w:fldCharType="begin" w:fldLock="1"/>
      </w:r>
      <w:r w:rsidRPr="00384232">
        <w:rPr>
          <w:rFonts w:ascii="Times New Roman" w:eastAsia="Times New Roman" w:hAnsi="Times New Roman"/>
          <w:sz w:val="24"/>
          <w:szCs w:val="24"/>
        </w:rPr>
        <w:instrText xml:space="preserve">ADDIN Mendeley Bibliography CSL_BIBLIOGRAPHY </w:instrText>
      </w:r>
      <w:r w:rsidRPr="00384232">
        <w:rPr>
          <w:rFonts w:ascii="Times New Roman" w:eastAsia="Times New Roman" w:hAnsi="Times New Roman"/>
          <w:sz w:val="24"/>
          <w:szCs w:val="24"/>
        </w:rPr>
        <w:fldChar w:fldCharType="separate"/>
      </w:r>
      <w:r w:rsidRPr="00384232">
        <w:rPr>
          <w:rFonts w:ascii="Times New Roman" w:eastAsia="Times New Roman" w:hAnsi="Times New Roman"/>
          <w:noProof/>
          <w:sz w:val="24"/>
          <w:szCs w:val="24"/>
        </w:rPr>
        <w:t xml:space="preserve">Ahmed A, Egwu G, Garba H and Magaji A (2011). Studies on risk factors of mortality in lambs in Sokoto, Nigeria. </w:t>
      </w:r>
      <w:r w:rsidRPr="00384232">
        <w:rPr>
          <w:rFonts w:ascii="Times New Roman" w:eastAsia="Times New Roman" w:hAnsi="Times New Roman"/>
          <w:i/>
          <w:iCs/>
          <w:noProof/>
          <w:sz w:val="24"/>
          <w:szCs w:val="24"/>
        </w:rPr>
        <w:t>Nigerian Veterinary Journal</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31</w:t>
      </w:r>
      <w:r w:rsidRPr="00384232">
        <w:rPr>
          <w:rFonts w:ascii="Times New Roman" w:eastAsia="Times New Roman" w:hAnsi="Times New Roman"/>
          <w:noProof/>
          <w:sz w:val="24"/>
          <w:szCs w:val="24"/>
        </w:rPr>
        <w:t xml:space="preserve">(1), 56–65. </w:t>
      </w:r>
    </w:p>
    <w:p w14:paraId="7300054A"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Alemnew E, Yitagesu E, Goshme S and Aydefruhim D (2020). Retrospective study on kid mortality and associated risk factors of kid survival of newly introduced Boer goat breed in North Shewa Ethiopia. </w:t>
      </w:r>
      <w:r w:rsidRPr="00384232">
        <w:rPr>
          <w:rFonts w:ascii="Times New Roman" w:eastAsia="Times New Roman" w:hAnsi="Times New Roman"/>
          <w:i/>
          <w:iCs/>
          <w:noProof/>
          <w:sz w:val="24"/>
          <w:szCs w:val="24"/>
        </w:rPr>
        <w:t>Livestock Research for Rural Development</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32</w:t>
      </w:r>
      <w:r w:rsidRPr="00384232">
        <w:rPr>
          <w:rFonts w:ascii="Times New Roman" w:eastAsia="Times New Roman" w:hAnsi="Times New Roman"/>
          <w:noProof/>
          <w:sz w:val="24"/>
          <w:szCs w:val="24"/>
        </w:rPr>
        <w:t>(7).</w:t>
      </w:r>
    </w:p>
    <w:p w14:paraId="62D7D1FB"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Alula P, Kassaye A and Berhanu S (2014). Pre-weaning kid mortality in Adamitulu Jedokombolcha District, Mid Rift Valley, Ethiopia. </w:t>
      </w:r>
      <w:r w:rsidRPr="00384232">
        <w:rPr>
          <w:rFonts w:ascii="Times New Roman" w:eastAsia="Times New Roman" w:hAnsi="Times New Roman"/>
          <w:i/>
          <w:iCs/>
          <w:noProof/>
          <w:sz w:val="24"/>
          <w:szCs w:val="24"/>
        </w:rPr>
        <w:t>Journal of Veterinary Medicine and Animal Health</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6</w:t>
      </w:r>
      <w:r w:rsidRPr="00384232">
        <w:rPr>
          <w:rFonts w:ascii="Times New Roman" w:eastAsia="Times New Roman" w:hAnsi="Times New Roman"/>
          <w:noProof/>
          <w:sz w:val="24"/>
          <w:szCs w:val="24"/>
        </w:rPr>
        <w:t xml:space="preserve">(1), 1–6. </w:t>
      </w:r>
    </w:p>
    <w:p w14:paraId="0C9F6BD2"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Asres Z, Nigus B, Abiy S, Mesfine L and Abebe T (2014). On-Station Retrospective Epidemiologic Study of Small Ruminant Disease in Sirinka Agricultural Research Center, Sheep and Goat Breeding, Evaluation and Distribution Site. </w:t>
      </w:r>
      <w:r w:rsidRPr="00384232">
        <w:rPr>
          <w:rFonts w:ascii="Times New Roman" w:eastAsia="Times New Roman" w:hAnsi="Times New Roman"/>
          <w:i/>
          <w:iCs/>
          <w:noProof/>
          <w:sz w:val="24"/>
          <w:szCs w:val="24"/>
        </w:rPr>
        <w:t>Academic Journal of Animal Diseases</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3</w:t>
      </w:r>
      <w:r w:rsidRPr="00384232">
        <w:rPr>
          <w:rFonts w:ascii="Times New Roman" w:eastAsia="Times New Roman" w:hAnsi="Times New Roman"/>
          <w:noProof/>
          <w:sz w:val="24"/>
          <w:szCs w:val="24"/>
        </w:rPr>
        <w:t xml:space="preserve">(3), 39–44. </w:t>
      </w:r>
    </w:p>
    <w:p w14:paraId="5AF7FE66"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Assefa A, Tibebu A, Bihon A and Yimana M (2021). Global ecological niche modelling of current and future distribution of peste des petits ruminants virus (PPRv) with an ensemble modelling algorithm. </w:t>
      </w:r>
      <w:r w:rsidRPr="00384232">
        <w:rPr>
          <w:rFonts w:ascii="Times New Roman" w:eastAsia="Times New Roman" w:hAnsi="Times New Roman"/>
          <w:i/>
          <w:iCs/>
          <w:noProof/>
          <w:sz w:val="24"/>
          <w:szCs w:val="24"/>
        </w:rPr>
        <w:t>Transboundary and Emerging Diseases</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68</w:t>
      </w:r>
      <w:r w:rsidRPr="00384232">
        <w:rPr>
          <w:rFonts w:ascii="Times New Roman" w:eastAsia="Times New Roman" w:hAnsi="Times New Roman"/>
          <w:noProof/>
          <w:sz w:val="24"/>
          <w:szCs w:val="24"/>
        </w:rPr>
        <w:t xml:space="preserve">(6), 3601–3610. </w:t>
      </w:r>
    </w:p>
    <w:p w14:paraId="76E78836"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Bahiru A and Assefa A (2018). </w:t>
      </w:r>
      <w:r w:rsidRPr="00384232">
        <w:rPr>
          <w:rFonts w:ascii="Times New Roman" w:eastAsia="Times New Roman" w:hAnsi="Times New Roman"/>
          <w:noProof/>
          <w:sz w:val="24"/>
          <w:szCs w:val="24"/>
        </w:rPr>
        <w:lastRenderedPageBreak/>
        <w:t xml:space="preserve">Investigation on Major Health Problems of Small Ruminants in Selected Districts of Waghemira zone, Amhara Regional State, Ethiopia: In </w:t>
      </w:r>
      <w:r w:rsidRPr="00384232">
        <w:rPr>
          <w:rFonts w:ascii="Times New Roman" w:eastAsia="Times New Roman" w:hAnsi="Times New Roman"/>
          <w:i/>
          <w:iCs/>
          <w:noProof/>
          <w:sz w:val="24"/>
          <w:szCs w:val="24"/>
        </w:rPr>
        <w:t>Proceedings of the 11th Annual Regional Conference on Completed Livestock Research Activitie</w:t>
      </w:r>
      <w:r w:rsidRPr="00384232">
        <w:rPr>
          <w:rFonts w:ascii="Times New Roman" w:eastAsia="Times New Roman" w:hAnsi="Times New Roman"/>
          <w:noProof/>
          <w:sz w:val="24"/>
          <w:szCs w:val="24"/>
        </w:rPr>
        <w:t xml:space="preserve"> (pp. 261–272). Amhara Agricultural Research Institute.</w:t>
      </w:r>
    </w:p>
    <w:p w14:paraId="2B6174CE"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Bashir T, Reddy K, Kiran S, Murki S, Kulkarni D and Dinesh P (2019). Effect of colostrum given within the 12 hours after birth on feeding outcome, morbidity and mortality in very low birth weight infants: a prospective cohort study. </w:t>
      </w:r>
      <w:r w:rsidRPr="00384232">
        <w:rPr>
          <w:rFonts w:ascii="Times New Roman" w:eastAsia="Times New Roman" w:hAnsi="Times New Roman"/>
          <w:i/>
          <w:iCs/>
          <w:noProof/>
          <w:sz w:val="24"/>
          <w:szCs w:val="24"/>
        </w:rPr>
        <w:t>Sudanese Journal of Paediatrics</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19</w:t>
      </w:r>
      <w:r w:rsidRPr="00384232">
        <w:rPr>
          <w:rFonts w:ascii="Times New Roman" w:eastAsia="Times New Roman" w:hAnsi="Times New Roman"/>
          <w:noProof/>
          <w:sz w:val="24"/>
          <w:szCs w:val="24"/>
        </w:rPr>
        <w:t xml:space="preserve">(1), 19–24. </w:t>
      </w:r>
    </w:p>
    <w:p w14:paraId="54CADFF9"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Belay B and Haile A (2011). Survivability of lambs under village management condition: The case around Jimma, Ethiopia. </w:t>
      </w:r>
      <w:r w:rsidRPr="00384232">
        <w:rPr>
          <w:rFonts w:ascii="Times New Roman" w:eastAsia="Times New Roman" w:hAnsi="Times New Roman"/>
          <w:i/>
          <w:iCs/>
          <w:noProof/>
          <w:sz w:val="24"/>
          <w:szCs w:val="24"/>
        </w:rPr>
        <w:t>Livestock Research for Rural Development</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23</w:t>
      </w:r>
      <w:r w:rsidRPr="00384232">
        <w:rPr>
          <w:rFonts w:ascii="Times New Roman" w:eastAsia="Times New Roman" w:hAnsi="Times New Roman"/>
          <w:noProof/>
          <w:sz w:val="24"/>
          <w:szCs w:val="24"/>
        </w:rPr>
        <w:t>(4), 1–10.</w:t>
      </w:r>
    </w:p>
    <w:p w14:paraId="05FF24D5"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Fentie T (2016). </w:t>
      </w:r>
      <w:r w:rsidRPr="00384232">
        <w:rPr>
          <w:rFonts w:ascii="Times New Roman" w:eastAsia="Times New Roman" w:hAnsi="Times New Roman"/>
          <w:i/>
          <w:iCs/>
          <w:noProof/>
          <w:sz w:val="24"/>
          <w:szCs w:val="24"/>
        </w:rPr>
        <w:t>Assessment of Young Stock Mortality in Major Livestock Production Systems of Ethiopia</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February</w:t>
      </w:r>
      <w:r w:rsidRPr="00384232">
        <w:rPr>
          <w:rFonts w:ascii="Times New Roman" w:eastAsia="Times New Roman" w:hAnsi="Times New Roman"/>
          <w:noProof/>
          <w:sz w:val="24"/>
          <w:szCs w:val="24"/>
        </w:rPr>
        <w:t>, 44.</w:t>
      </w:r>
    </w:p>
    <w:p w14:paraId="2834BCE6"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Hammon H M, Liermann W, Frieten D and Koch C (2020). Review: Importance of colostrum supply and milk feeding intensity on gastrointestinal and systemic development in calves. </w:t>
      </w:r>
      <w:r w:rsidRPr="00384232">
        <w:rPr>
          <w:rFonts w:ascii="Times New Roman" w:eastAsia="Times New Roman" w:hAnsi="Times New Roman"/>
          <w:i/>
          <w:iCs/>
          <w:noProof/>
          <w:sz w:val="24"/>
          <w:szCs w:val="24"/>
        </w:rPr>
        <w:t>Animal</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14</w:t>
      </w:r>
      <w:r w:rsidRPr="00384232">
        <w:rPr>
          <w:rFonts w:ascii="Times New Roman" w:eastAsia="Times New Roman" w:hAnsi="Times New Roman"/>
          <w:noProof/>
          <w:sz w:val="24"/>
          <w:szCs w:val="24"/>
        </w:rPr>
        <w:t xml:space="preserve">(S1), S133–S143. </w:t>
      </w:r>
    </w:p>
    <w:p w14:paraId="0A3F7BE8"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Hunduma D, Worku T, Moti W and Feyesa R (2010). Preliminary Study on Major Health Problems of the Newly Introduced Boer Goat Breed in Ethiopia. </w:t>
      </w:r>
      <w:r w:rsidRPr="00384232">
        <w:rPr>
          <w:rFonts w:ascii="Times New Roman" w:eastAsia="Times New Roman" w:hAnsi="Times New Roman"/>
          <w:i/>
          <w:iCs/>
          <w:noProof/>
          <w:sz w:val="24"/>
          <w:szCs w:val="24"/>
        </w:rPr>
        <w:t>World Applied Sciences Journal</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11</w:t>
      </w:r>
      <w:r w:rsidRPr="00384232">
        <w:rPr>
          <w:rFonts w:ascii="Times New Roman" w:eastAsia="Times New Roman" w:hAnsi="Times New Roman"/>
          <w:noProof/>
          <w:sz w:val="24"/>
          <w:szCs w:val="24"/>
        </w:rPr>
        <w:t>(7), 803–807.</w:t>
      </w:r>
    </w:p>
    <w:p w14:paraId="4081172C"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Kashem M A, Hossain M A, Ahmed S S U and Halim M A (2011). Prevalence of diseases, morbidity and mortality of Black Bengal Goats under different management systems in Bangladesh. </w:t>
      </w:r>
      <w:r w:rsidRPr="00384232">
        <w:rPr>
          <w:rFonts w:ascii="Times New Roman" w:eastAsia="Times New Roman" w:hAnsi="Times New Roman"/>
          <w:i/>
          <w:iCs/>
          <w:noProof/>
          <w:sz w:val="24"/>
          <w:szCs w:val="24"/>
        </w:rPr>
        <w:t>University Journal of Zoology, Rajshahi University</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30</w:t>
      </w:r>
      <w:r w:rsidRPr="00384232">
        <w:rPr>
          <w:rFonts w:ascii="Times New Roman" w:eastAsia="Times New Roman" w:hAnsi="Times New Roman"/>
          <w:noProof/>
          <w:sz w:val="24"/>
          <w:szCs w:val="24"/>
        </w:rPr>
        <w:t xml:space="preserve">(January 2018), 01–04. </w:t>
      </w:r>
    </w:p>
    <w:p w14:paraId="3362CD0D"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Kefyalew S F (2015). Sheep and Goat Production Systems in Degehabur Zone, Eastern Ethiopia: Challenge </w:t>
      </w:r>
      <w:r w:rsidRPr="00384232">
        <w:rPr>
          <w:rFonts w:ascii="Times New Roman" w:eastAsia="Times New Roman" w:hAnsi="Times New Roman"/>
          <w:noProof/>
          <w:sz w:val="24"/>
          <w:szCs w:val="24"/>
        </w:rPr>
        <w:t xml:space="preserve">and Opportunities. </w:t>
      </w:r>
      <w:r w:rsidRPr="00384232">
        <w:rPr>
          <w:rFonts w:ascii="Times New Roman" w:eastAsia="Times New Roman" w:hAnsi="Times New Roman"/>
          <w:i/>
          <w:iCs/>
          <w:noProof/>
          <w:sz w:val="24"/>
          <w:szCs w:val="24"/>
        </w:rPr>
        <w:t>Advances in Dairy Research</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03</w:t>
      </w:r>
      <w:r w:rsidRPr="00384232">
        <w:rPr>
          <w:rFonts w:ascii="Times New Roman" w:eastAsia="Times New Roman" w:hAnsi="Times New Roman"/>
          <w:noProof/>
          <w:sz w:val="24"/>
          <w:szCs w:val="24"/>
        </w:rPr>
        <w:t xml:space="preserve">(02). </w:t>
      </w:r>
    </w:p>
    <w:p w14:paraId="70612BEF"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Sharif L and Al-ani F (2005). Risk factors for lamb and kid mortality in sheep and goat farms in Jordan RISK FACTORS FOR LAMB AND KID MORTALITY IN. </w:t>
      </w:r>
      <w:r w:rsidRPr="00384232">
        <w:rPr>
          <w:rFonts w:ascii="Times New Roman" w:eastAsia="Times New Roman" w:hAnsi="Times New Roman"/>
          <w:i/>
          <w:iCs/>
          <w:noProof/>
          <w:sz w:val="24"/>
          <w:szCs w:val="24"/>
        </w:rPr>
        <w:t>Bulgarian Journal of Veterinary Medicine</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8</w:t>
      </w:r>
      <w:r w:rsidRPr="00384232">
        <w:rPr>
          <w:rFonts w:ascii="Times New Roman" w:eastAsia="Times New Roman" w:hAnsi="Times New Roman"/>
          <w:noProof/>
          <w:sz w:val="24"/>
          <w:szCs w:val="24"/>
        </w:rPr>
        <w:t>.</w:t>
      </w:r>
    </w:p>
    <w:p w14:paraId="5ADF6336"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Sharif L and Al-ani F (2015). Risk factors for lamb and kid mortality in sheep and goat farms in Jordan RISK FACTORS FOR LAMB AND KID MORTALITY IN. </w:t>
      </w:r>
      <w:r w:rsidRPr="00384232">
        <w:rPr>
          <w:rFonts w:ascii="Times New Roman" w:eastAsia="Times New Roman" w:hAnsi="Times New Roman"/>
          <w:i/>
          <w:iCs/>
          <w:noProof/>
          <w:sz w:val="24"/>
          <w:szCs w:val="24"/>
        </w:rPr>
        <w:t>BJVM</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8(2)</w:t>
      </w:r>
      <w:r w:rsidRPr="00384232">
        <w:rPr>
          <w:rFonts w:ascii="Times New Roman" w:eastAsia="Times New Roman" w:hAnsi="Times New Roman"/>
          <w:noProof/>
          <w:sz w:val="24"/>
          <w:szCs w:val="24"/>
        </w:rPr>
        <w:t>(October), 100–108.</w:t>
      </w:r>
    </w:p>
    <w:p w14:paraId="46EE0454"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Slayi M, Maphosa V, Fayemi O P aand Mapfumo L (2014). Farmers’ perceptions of goat kid mortality under communal farming in Eastern Cape, South Africa. </w:t>
      </w:r>
      <w:r w:rsidRPr="00384232">
        <w:rPr>
          <w:rFonts w:ascii="Times New Roman" w:eastAsia="Times New Roman" w:hAnsi="Times New Roman"/>
          <w:i/>
          <w:iCs/>
          <w:noProof/>
          <w:sz w:val="24"/>
          <w:szCs w:val="24"/>
        </w:rPr>
        <w:t>Tropical Animal Health and Production</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46</w:t>
      </w:r>
      <w:r w:rsidRPr="00384232">
        <w:rPr>
          <w:rFonts w:ascii="Times New Roman" w:eastAsia="Times New Roman" w:hAnsi="Times New Roman"/>
          <w:noProof/>
          <w:sz w:val="24"/>
          <w:szCs w:val="24"/>
        </w:rPr>
        <w:t xml:space="preserve">(7), 1209–1215. </w:t>
      </w:r>
    </w:p>
    <w:p w14:paraId="3428F211"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STATA (2016). </w:t>
      </w:r>
      <w:r w:rsidRPr="00384232">
        <w:rPr>
          <w:rFonts w:ascii="Times New Roman" w:eastAsia="Times New Roman" w:hAnsi="Times New Roman"/>
          <w:i/>
          <w:iCs/>
          <w:noProof/>
          <w:sz w:val="24"/>
          <w:szCs w:val="24"/>
        </w:rPr>
        <w:t>Statistics with STATA</w:t>
      </w:r>
      <w:r w:rsidRPr="00384232">
        <w:rPr>
          <w:rFonts w:ascii="Times New Roman" w:eastAsia="Times New Roman" w:hAnsi="Times New Roman"/>
          <w:noProof/>
          <w:sz w:val="24"/>
          <w:szCs w:val="24"/>
        </w:rPr>
        <w:t xml:space="preserve"> (14.1). StataCorp.</w:t>
      </w:r>
    </w:p>
    <w:p w14:paraId="21DB5111"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Tifashe M, Hassan A, Herago T and Tesfamariam G (2017). Analysis of Morbidity and Mortality of Sheep and Goat in Wolaita Soddo Zuria District, Southern Ethiopia. </w:t>
      </w:r>
      <w:r w:rsidRPr="00384232">
        <w:rPr>
          <w:rFonts w:ascii="Times New Roman" w:eastAsia="Times New Roman" w:hAnsi="Times New Roman"/>
          <w:i/>
          <w:iCs/>
          <w:noProof/>
          <w:sz w:val="24"/>
          <w:szCs w:val="24"/>
        </w:rPr>
        <w:t>Global Veterinaria</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18</w:t>
      </w:r>
      <w:r w:rsidRPr="00384232">
        <w:rPr>
          <w:rFonts w:ascii="Times New Roman" w:eastAsia="Times New Roman" w:hAnsi="Times New Roman"/>
          <w:noProof/>
          <w:sz w:val="24"/>
          <w:szCs w:val="24"/>
        </w:rPr>
        <w:t xml:space="preserve">(3), 168–177. </w:t>
      </w:r>
    </w:p>
    <w:p w14:paraId="75C1B950"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Tsegaye D, Belay B and Haile A (2013a). </w:t>
      </w:r>
      <w:r w:rsidRPr="00384232">
        <w:rPr>
          <w:rFonts w:ascii="Times New Roman" w:eastAsia="Times New Roman" w:hAnsi="Times New Roman"/>
          <w:i/>
          <w:iCs/>
          <w:noProof/>
          <w:sz w:val="24"/>
          <w:szCs w:val="24"/>
        </w:rPr>
        <w:t>Prevalence of Major Goat Diseases and Mortality of Goat in Daro-Labu District of West Hararghe , Eastern</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2</w:t>
      </w:r>
      <w:r w:rsidRPr="00384232">
        <w:rPr>
          <w:rFonts w:ascii="Times New Roman" w:eastAsia="Times New Roman" w:hAnsi="Times New Roman"/>
          <w:noProof/>
          <w:sz w:val="24"/>
          <w:szCs w:val="24"/>
        </w:rPr>
        <w:t>(3), 665–672.</w:t>
      </w:r>
    </w:p>
    <w:p w14:paraId="23EF1E7C" w14:textId="77777777" w:rsidR="00742C01" w:rsidRPr="00384232" w:rsidRDefault="00742C01" w:rsidP="00384232">
      <w:pPr>
        <w:widowControl w:val="0"/>
        <w:autoSpaceDE w:val="0"/>
        <w:autoSpaceDN w:val="0"/>
        <w:adjustRightInd w:val="0"/>
        <w:ind w:left="480" w:hanging="480"/>
        <w:rPr>
          <w:rFonts w:ascii="Times New Roman" w:eastAsia="Times New Roman" w:hAnsi="Times New Roman"/>
          <w:noProof/>
          <w:sz w:val="24"/>
          <w:szCs w:val="24"/>
        </w:rPr>
      </w:pPr>
      <w:r w:rsidRPr="00384232">
        <w:rPr>
          <w:rFonts w:ascii="Times New Roman" w:eastAsia="Times New Roman" w:hAnsi="Times New Roman"/>
          <w:noProof/>
          <w:sz w:val="24"/>
          <w:szCs w:val="24"/>
        </w:rPr>
        <w:t xml:space="preserve">Tsegaye D, Belay B and Haile A (2013b). Prevalence of Major Goat Diseases and Mortality of Goat in Daro-Labu District Prevalence of Major Goat Diseases and Mortality of Goat in Daro-Labu District of West Hararghe , Eastern Ethiopia. </w:t>
      </w:r>
      <w:r w:rsidRPr="00384232">
        <w:rPr>
          <w:rFonts w:ascii="Times New Roman" w:eastAsia="Times New Roman" w:hAnsi="Times New Roman"/>
          <w:i/>
          <w:iCs/>
          <w:noProof/>
          <w:sz w:val="24"/>
          <w:szCs w:val="24"/>
        </w:rPr>
        <w:t>Journal of Scientific and Innovative Research</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2(3)</w:t>
      </w:r>
      <w:r w:rsidRPr="00384232">
        <w:rPr>
          <w:rFonts w:ascii="Times New Roman" w:eastAsia="Times New Roman" w:hAnsi="Times New Roman"/>
          <w:noProof/>
          <w:sz w:val="24"/>
          <w:szCs w:val="24"/>
        </w:rPr>
        <w:t>(January), 680–688.</w:t>
      </w:r>
    </w:p>
    <w:p w14:paraId="6E1E52E1" w14:textId="4862204B" w:rsidR="00C10D88" w:rsidRPr="00384232" w:rsidRDefault="00742C01" w:rsidP="00384232">
      <w:pPr>
        <w:widowControl w:val="0"/>
        <w:autoSpaceDE w:val="0"/>
        <w:autoSpaceDN w:val="0"/>
        <w:adjustRightInd w:val="0"/>
        <w:ind w:left="480" w:hanging="480"/>
        <w:rPr>
          <w:rFonts w:ascii="Times New Roman" w:eastAsia="Times New Roman" w:hAnsi="Times New Roman"/>
          <w:sz w:val="24"/>
          <w:szCs w:val="24"/>
        </w:rPr>
      </w:pPr>
      <w:r w:rsidRPr="00384232">
        <w:rPr>
          <w:rFonts w:ascii="Times New Roman" w:eastAsia="Times New Roman" w:hAnsi="Times New Roman"/>
          <w:noProof/>
          <w:sz w:val="24"/>
          <w:szCs w:val="24"/>
        </w:rPr>
        <w:t xml:space="preserve">Yitagesu E and Alemnew E (2022). Mortality rate of Boer, Central Highland goat and their crosses in Ethiopia: Nonparametric survival analysis and piecewise exponential model. </w:t>
      </w:r>
      <w:r w:rsidRPr="00384232">
        <w:rPr>
          <w:rFonts w:ascii="Times New Roman" w:eastAsia="Times New Roman" w:hAnsi="Times New Roman"/>
          <w:i/>
          <w:iCs/>
          <w:noProof/>
          <w:sz w:val="24"/>
          <w:szCs w:val="24"/>
        </w:rPr>
        <w:t>Veterinary Medicine and Science</w:t>
      </w:r>
      <w:r w:rsidRPr="00384232">
        <w:rPr>
          <w:rFonts w:ascii="Times New Roman" w:eastAsia="Times New Roman" w:hAnsi="Times New Roman"/>
          <w:noProof/>
          <w:sz w:val="24"/>
          <w:szCs w:val="24"/>
        </w:rPr>
        <w:t xml:space="preserve">, </w:t>
      </w:r>
      <w:r w:rsidRPr="00384232">
        <w:rPr>
          <w:rFonts w:ascii="Times New Roman" w:eastAsia="Times New Roman" w:hAnsi="Times New Roman"/>
          <w:i/>
          <w:iCs/>
          <w:noProof/>
          <w:sz w:val="24"/>
          <w:szCs w:val="24"/>
        </w:rPr>
        <w:t>8</w:t>
      </w:r>
      <w:r w:rsidRPr="00384232">
        <w:rPr>
          <w:rFonts w:ascii="Times New Roman" w:eastAsia="Times New Roman" w:hAnsi="Times New Roman"/>
          <w:noProof/>
          <w:sz w:val="24"/>
          <w:szCs w:val="24"/>
        </w:rPr>
        <w:t xml:space="preserve">(5), 2183–2193. </w:t>
      </w:r>
      <w:r w:rsidRPr="00384232">
        <w:rPr>
          <w:rFonts w:ascii="Times New Roman" w:eastAsia="Times New Roman" w:hAnsi="Times New Roman"/>
          <w:sz w:val="24"/>
          <w:szCs w:val="24"/>
        </w:rPr>
        <w:fldChar w:fldCharType="end"/>
      </w:r>
    </w:p>
    <w:sectPr w:rsidR="00C10D88" w:rsidRPr="00384232" w:rsidSect="00384232">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8475D" w14:textId="77777777" w:rsidR="00E03038" w:rsidRDefault="00E03038">
      <w:r>
        <w:separator/>
      </w:r>
    </w:p>
  </w:endnote>
  <w:endnote w:type="continuationSeparator" w:id="0">
    <w:p w14:paraId="24E2B2FA" w14:textId="77777777" w:rsidR="00E03038" w:rsidRDefault="00E0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tch801 Rm BT">
    <w:charset w:val="00"/>
    <w:family w:val="roman"/>
    <w:pitch w:val="variable"/>
    <w:sig w:usb0="00000087" w:usb1="00000000" w:usb2="00000000" w:usb3="00000000" w:csb0="0000001B" w:csb1="00000000"/>
  </w:font>
  <w:font w:name="Courier Std">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roman"/>
    <w:notTrueType/>
    <w:pitch w:val="default"/>
  </w:font>
  <w:font w:name="TimesNewRoman">
    <w:altName w:val="Times New Roman"/>
    <w:charset w:val="80"/>
    <w:family w:val="auto"/>
    <w:pitch w:val="default"/>
    <w:sig w:usb0="00000000" w:usb1="08070000" w:usb2="00000010" w:usb3="00000000" w:csb0="00020001"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HJLDSJ+MinionPro-Regular">
    <w:altName w:val="Minion Pro"/>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758847"/>
      <w:docPartObj>
        <w:docPartGallery w:val="Page Numbers (Bottom of Page)"/>
        <w:docPartUnique/>
      </w:docPartObj>
    </w:sdtPr>
    <w:sdtEndPr>
      <w:rPr>
        <w:noProof/>
      </w:rPr>
    </w:sdtEndPr>
    <w:sdtContent>
      <w:p w14:paraId="7FD3FC9D" w14:textId="46E49144" w:rsidR="00CE1E1D" w:rsidRDefault="00CE1E1D">
        <w:pPr>
          <w:pStyle w:val="Footer"/>
          <w:jc w:val="center"/>
        </w:pPr>
        <w:r>
          <w:fldChar w:fldCharType="begin"/>
        </w:r>
        <w:r>
          <w:instrText xml:space="preserve"> PAGE   \* MERGEFORMAT </w:instrText>
        </w:r>
        <w:r>
          <w:fldChar w:fldCharType="separate"/>
        </w:r>
        <w:r w:rsidR="00361AD5">
          <w:rPr>
            <w:noProof/>
          </w:rPr>
          <w:t>10</w:t>
        </w:r>
        <w:r>
          <w:rPr>
            <w:noProof/>
          </w:rPr>
          <w:fldChar w:fldCharType="end"/>
        </w:r>
      </w:p>
    </w:sdtContent>
  </w:sdt>
  <w:p w14:paraId="0B29FAA4" w14:textId="77777777" w:rsidR="00CE1E1D" w:rsidRDefault="00CE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668437"/>
      <w:docPartObj>
        <w:docPartGallery w:val="Page Numbers (Bottom of Page)"/>
        <w:docPartUnique/>
      </w:docPartObj>
    </w:sdtPr>
    <w:sdtEndPr>
      <w:rPr>
        <w:noProof/>
      </w:rPr>
    </w:sdtEndPr>
    <w:sdtContent>
      <w:p w14:paraId="5E00BD53" w14:textId="14862738" w:rsidR="00CE1E1D" w:rsidRDefault="00CE1E1D">
        <w:pPr>
          <w:pStyle w:val="Footer"/>
          <w:jc w:val="center"/>
        </w:pPr>
        <w:r>
          <w:fldChar w:fldCharType="begin"/>
        </w:r>
        <w:r>
          <w:instrText xml:space="preserve"> PAGE   \* MERGEFORMAT </w:instrText>
        </w:r>
        <w:r>
          <w:fldChar w:fldCharType="separate"/>
        </w:r>
        <w:r w:rsidR="00361AD5">
          <w:rPr>
            <w:noProof/>
          </w:rPr>
          <w:t>1</w:t>
        </w:r>
        <w:r>
          <w:rPr>
            <w:noProof/>
          </w:rPr>
          <w:fldChar w:fldCharType="end"/>
        </w:r>
      </w:p>
    </w:sdtContent>
  </w:sdt>
  <w:p w14:paraId="0743ED97" w14:textId="77777777" w:rsidR="00CE1E1D" w:rsidRDefault="00CE1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2523F" w14:textId="77777777" w:rsidR="00E03038" w:rsidRDefault="00E03038">
      <w:r>
        <w:separator/>
      </w:r>
    </w:p>
  </w:footnote>
  <w:footnote w:type="continuationSeparator" w:id="0">
    <w:p w14:paraId="35E0BA0B" w14:textId="77777777" w:rsidR="00E03038" w:rsidRDefault="00E03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04E"/>
    <w:multiLevelType w:val="multilevel"/>
    <w:tmpl w:val="98CA0B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43E5DCC"/>
    <w:multiLevelType w:val="hybridMultilevel"/>
    <w:tmpl w:val="107A9206"/>
    <w:lvl w:ilvl="0" w:tplc="45AE80B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346A7"/>
    <w:multiLevelType w:val="hybridMultilevel"/>
    <w:tmpl w:val="1D08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31AB3"/>
    <w:multiLevelType w:val="hybridMultilevel"/>
    <w:tmpl w:val="D26C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3C37"/>
    <w:multiLevelType w:val="hybridMultilevel"/>
    <w:tmpl w:val="8B34F61A"/>
    <w:lvl w:ilvl="0" w:tplc="FE6873D6">
      <w:start w:val="1"/>
      <w:numFmt w:val="bullet"/>
      <w:lvlText w:val="•"/>
      <w:lvlJc w:val="left"/>
      <w:pPr>
        <w:tabs>
          <w:tab w:val="num" w:pos="720"/>
        </w:tabs>
        <w:ind w:left="720" w:hanging="360"/>
      </w:pPr>
      <w:rPr>
        <w:rFonts w:ascii="Arial" w:hAnsi="Arial" w:hint="default"/>
      </w:rPr>
    </w:lvl>
    <w:lvl w:ilvl="1" w:tplc="5C2A5480" w:tentative="1">
      <w:start w:val="1"/>
      <w:numFmt w:val="bullet"/>
      <w:lvlText w:val="•"/>
      <w:lvlJc w:val="left"/>
      <w:pPr>
        <w:tabs>
          <w:tab w:val="num" w:pos="1440"/>
        </w:tabs>
        <w:ind w:left="1440" w:hanging="360"/>
      </w:pPr>
      <w:rPr>
        <w:rFonts w:ascii="Arial" w:hAnsi="Arial" w:hint="default"/>
      </w:rPr>
    </w:lvl>
    <w:lvl w:ilvl="2" w:tplc="17EE8EA4" w:tentative="1">
      <w:start w:val="1"/>
      <w:numFmt w:val="bullet"/>
      <w:lvlText w:val="•"/>
      <w:lvlJc w:val="left"/>
      <w:pPr>
        <w:tabs>
          <w:tab w:val="num" w:pos="2160"/>
        </w:tabs>
        <w:ind w:left="2160" w:hanging="360"/>
      </w:pPr>
      <w:rPr>
        <w:rFonts w:ascii="Arial" w:hAnsi="Arial" w:hint="default"/>
      </w:rPr>
    </w:lvl>
    <w:lvl w:ilvl="3" w:tplc="A5D2D33A" w:tentative="1">
      <w:start w:val="1"/>
      <w:numFmt w:val="bullet"/>
      <w:lvlText w:val="•"/>
      <w:lvlJc w:val="left"/>
      <w:pPr>
        <w:tabs>
          <w:tab w:val="num" w:pos="2880"/>
        </w:tabs>
        <w:ind w:left="2880" w:hanging="360"/>
      </w:pPr>
      <w:rPr>
        <w:rFonts w:ascii="Arial" w:hAnsi="Arial" w:hint="default"/>
      </w:rPr>
    </w:lvl>
    <w:lvl w:ilvl="4" w:tplc="FE3AB282" w:tentative="1">
      <w:start w:val="1"/>
      <w:numFmt w:val="bullet"/>
      <w:lvlText w:val="•"/>
      <w:lvlJc w:val="left"/>
      <w:pPr>
        <w:tabs>
          <w:tab w:val="num" w:pos="3600"/>
        </w:tabs>
        <w:ind w:left="3600" w:hanging="360"/>
      </w:pPr>
      <w:rPr>
        <w:rFonts w:ascii="Arial" w:hAnsi="Arial" w:hint="default"/>
      </w:rPr>
    </w:lvl>
    <w:lvl w:ilvl="5" w:tplc="C7B02CD8" w:tentative="1">
      <w:start w:val="1"/>
      <w:numFmt w:val="bullet"/>
      <w:lvlText w:val="•"/>
      <w:lvlJc w:val="left"/>
      <w:pPr>
        <w:tabs>
          <w:tab w:val="num" w:pos="4320"/>
        </w:tabs>
        <w:ind w:left="4320" w:hanging="360"/>
      </w:pPr>
      <w:rPr>
        <w:rFonts w:ascii="Arial" w:hAnsi="Arial" w:hint="default"/>
      </w:rPr>
    </w:lvl>
    <w:lvl w:ilvl="6" w:tplc="D1F894DA" w:tentative="1">
      <w:start w:val="1"/>
      <w:numFmt w:val="bullet"/>
      <w:lvlText w:val="•"/>
      <w:lvlJc w:val="left"/>
      <w:pPr>
        <w:tabs>
          <w:tab w:val="num" w:pos="5040"/>
        </w:tabs>
        <w:ind w:left="5040" w:hanging="360"/>
      </w:pPr>
      <w:rPr>
        <w:rFonts w:ascii="Arial" w:hAnsi="Arial" w:hint="default"/>
      </w:rPr>
    </w:lvl>
    <w:lvl w:ilvl="7" w:tplc="EDB830EE" w:tentative="1">
      <w:start w:val="1"/>
      <w:numFmt w:val="bullet"/>
      <w:lvlText w:val="•"/>
      <w:lvlJc w:val="left"/>
      <w:pPr>
        <w:tabs>
          <w:tab w:val="num" w:pos="5760"/>
        </w:tabs>
        <w:ind w:left="5760" w:hanging="360"/>
      </w:pPr>
      <w:rPr>
        <w:rFonts w:ascii="Arial" w:hAnsi="Arial" w:hint="default"/>
      </w:rPr>
    </w:lvl>
    <w:lvl w:ilvl="8" w:tplc="927E6A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185D74"/>
    <w:multiLevelType w:val="hybridMultilevel"/>
    <w:tmpl w:val="03C2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24D77"/>
    <w:multiLevelType w:val="hybridMultilevel"/>
    <w:tmpl w:val="102A8FD4"/>
    <w:lvl w:ilvl="0" w:tplc="1CE01A06">
      <w:start w:val="1"/>
      <w:numFmt w:val="bullet"/>
      <w:lvlText w:val="•"/>
      <w:lvlJc w:val="left"/>
      <w:pPr>
        <w:tabs>
          <w:tab w:val="num" w:pos="720"/>
        </w:tabs>
        <w:ind w:left="720" w:hanging="360"/>
      </w:pPr>
      <w:rPr>
        <w:rFonts w:ascii="Arial" w:hAnsi="Arial" w:hint="default"/>
      </w:rPr>
    </w:lvl>
    <w:lvl w:ilvl="1" w:tplc="A46E83B6" w:tentative="1">
      <w:start w:val="1"/>
      <w:numFmt w:val="bullet"/>
      <w:lvlText w:val="•"/>
      <w:lvlJc w:val="left"/>
      <w:pPr>
        <w:tabs>
          <w:tab w:val="num" w:pos="1440"/>
        </w:tabs>
        <w:ind w:left="1440" w:hanging="360"/>
      </w:pPr>
      <w:rPr>
        <w:rFonts w:ascii="Arial" w:hAnsi="Arial" w:hint="default"/>
      </w:rPr>
    </w:lvl>
    <w:lvl w:ilvl="2" w:tplc="7EF28204" w:tentative="1">
      <w:start w:val="1"/>
      <w:numFmt w:val="bullet"/>
      <w:lvlText w:val="•"/>
      <w:lvlJc w:val="left"/>
      <w:pPr>
        <w:tabs>
          <w:tab w:val="num" w:pos="2160"/>
        </w:tabs>
        <w:ind w:left="2160" w:hanging="360"/>
      </w:pPr>
      <w:rPr>
        <w:rFonts w:ascii="Arial" w:hAnsi="Arial" w:hint="default"/>
      </w:rPr>
    </w:lvl>
    <w:lvl w:ilvl="3" w:tplc="7CE857A8" w:tentative="1">
      <w:start w:val="1"/>
      <w:numFmt w:val="bullet"/>
      <w:lvlText w:val="•"/>
      <w:lvlJc w:val="left"/>
      <w:pPr>
        <w:tabs>
          <w:tab w:val="num" w:pos="2880"/>
        </w:tabs>
        <w:ind w:left="2880" w:hanging="360"/>
      </w:pPr>
      <w:rPr>
        <w:rFonts w:ascii="Arial" w:hAnsi="Arial" w:hint="default"/>
      </w:rPr>
    </w:lvl>
    <w:lvl w:ilvl="4" w:tplc="64D48A72" w:tentative="1">
      <w:start w:val="1"/>
      <w:numFmt w:val="bullet"/>
      <w:lvlText w:val="•"/>
      <w:lvlJc w:val="left"/>
      <w:pPr>
        <w:tabs>
          <w:tab w:val="num" w:pos="3600"/>
        </w:tabs>
        <w:ind w:left="3600" w:hanging="360"/>
      </w:pPr>
      <w:rPr>
        <w:rFonts w:ascii="Arial" w:hAnsi="Arial" w:hint="default"/>
      </w:rPr>
    </w:lvl>
    <w:lvl w:ilvl="5" w:tplc="A2D084F6" w:tentative="1">
      <w:start w:val="1"/>
      <w:numFmt w:val="bullet"/>
      <w:lvlText w:val="•"/>
      <w:lvlJc w:val="left"/>
      <w:pPr>
        <w:tabs>
          <w:tab w:val="num" w:pos="4320"/>
        </w:tabs>
        <w:ind w:left="4320" w:hanging="360"/>
      </w:pPr>
      <w:rPr>
        <w:rFonts w:ascii="Arial" w:hAnsi="Arial" w:hint="default"/>
      </w:rPr>
    </w:lvl>
    <w:lvl w:ilvl="6" w:tplc="356A964E" w:tentative="1">
      <w:start w:val="1"/>
      <w:numFmt w:val="bullet"/>
      <w:lvlText w:val="•"/>
      <w:lvlJc w:val="left"/>
      <w:pPr>
        <w:tabs>
          <w:tab w:val="num" w:pos="5040"/>
        </w:tabs>
        <w:ind w:left="5040" w:hanging="360"/>
      </w:pPr>
      <w:rPr>
        <w:rFonts w:ascii="Arial" w:hAnsi="Arial" w:hint="default"/>
      </w:rPr>
    </w:lvl>
    <w:lvl w:ilvl="7" w:tplc="A15841D2" w:tentative="1">
      <w:start w:val="1"/>
      <w:numFmt w:val="bullet"/>
      <w:lvlText w:val="•"/>
      <w:lvlJc w:val="left"/>
      <w:pPr>
        <w:tabs>
          <w:tab w:val="num" w:pos="5760"/>
        </w:tabs>
        <w:ind w:left="5760" w:hanging="360"/>
      </w:pPr>
      <w:rPr>
        <w:rFonts w:ascii="Arial" w:hAnsi="Arial" w:hint="default"/>
      </w:rPr>
    </w:lvl>
    <w:lvl w:ilvl="8" w:tplc="718202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9A0DBC"/>
    <w:multiLevelType w:val="hybridMultilevel"/>
    <w:tmpl w:val="523640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0C59CE"/>
    <w:multiLevelType w:val="hybridMultilevel"/>
    <w:tmpl w:val="E672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0" w15:restartNumberingAfterBreak="0">
    <w:nsid w:val="264603BB"/>
    <w:multiLevelType w:val="hybridMultilevel"/>
    <w:tmpl w:val="4F20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E2EF7"/>
    <w:multiLevelType w:val="hybridMultilevel"/>
    <w:tmpl w:val="D4426FA6"/>
    <w:lvl w:ilvl="0" w:tplc="D0143388">
      <w:start w:val="1"/>
      <w:numFmt w:val="bullet"/>
      <w:lvlText w:val="•"/>
      <w:lvlJc w:val="left"/>
      <w:pPr>
        <w:tabs>
          <w:tab w:val="num" w:pos="720"/>
        </w:tabs>
        <w:ind w:left="720" w:hanging="360"/>
      </w:pPr>
      <w:rPr>
        <w:rFonts w:ascii="Arial" w:hAnsi="Arial" w:hint="default"/>
      </w:rPr>
    </w:lvl>
    <w:lvl w:ilvl="1" w:tplc="69A08818" w:tentative="1">
      <w:start w:val="1"/>
      <w:numFmt w:val="bullet"/>
      <w:lvlText w:val="•"/>
      <w:lvlJc w:val="left"/>
      <w:pPr>
        <w:tabs>
          <w:tab w:val="num" w:pos="1440"/>
        </w:tabs>
        <w:ind w:left="1440" w:hanging="360"/>
      </w:pPr>
      <w:rPr>
        <w:rFonts w:ascii="Arial" w:hAnsi="Arial" w:hint="default"/>
      </w:rPr>
    </w:lvl>
    <w:lvl w:ilvl="2" w:tplc="689241F6" w:tentative="1">
      <w:start w:val="1"/>
      <w:numFmt w:val="bullet"/>
      <w:lvlText w:val="•"/>
      <w:lvlJc w:val="left"/>
      <w:pPr>
        <w:tabs>
          <w:tab w:val="num" w:pos="2160"/>
        </w:tabs>
        <w:ind w:left="2160" w:hanging="360"/>
      </w:pPr>
      <w:rPr>
        <w:rFonts w:ascii="Arial" w:hAnsi="Arial" w:hint="default"/>
      </w:rPr>
    </w:lvl>
    <w:lvl w:ilvl="3" w:tplc="E08A8A8E" w:tentative="1">
      <w:start w:val="1"/>
      <w:numFmt w:val="bullet"/>
      <w:lvlText w:val="•"/>
      <w:lvlJc w:val="left"/>
      <w:pPr>
        <w:tabs>
          <w:tab w:val="num" w:pos="2880"/>
        </w:tabs>
        <w:ind w:left="2880" w:hanging="360"/>
      </w:pPr>
      <w:rPr>
        <w:rFonts w:ascii="Arial" w:hAnsi="Arial" w:hint="default"/>
      </w:rPr>
    </w:lvl>
    <w:lvl w:ilvl="4" w:tplc="F496B5FA" w:tentative="1">
      <w:start w:val="1"/>
      <w:numFmt w:val="bullet"/>
      <w:lvlText w:val="•"/>
      <w:lvlJc w:val="left"/>
      <w:pPr>
        <w:tabs>
          <w:tab w:val="num" w:pos="3600"/>
        </w:tabs>
        <w:ind w:left="3600" w:hanging="360"/>
      </w:pPr>
      <w:rPr>
        <w:rFonts w:ascii="Arial" w:hAnsi="Arial" w:hint="default"/>
      </w:rPr>
    </w:lvl>
    <w:lvl w:ilvl="5" w:tplc="A9D601E0" w:tentative="1">
      <w:start w:val="1"/>
      <w:numFmt w:val="bullet"/>
      <w:lvlText w:val="•"/>
      <w:lvlJc w:val="left"/>
      <w:pPr>
        <w:tabs>
          <w:tab w:val="num" w:pos="4320"/>
        </w:tabs>
        <w:ind w:left="4320" w:hanging="360"/>
      </w:pPr>
      <w:rPr>
        <w:rFonts w:ascii="Arial" w:hAnsi="Arial" w:hint="default"/>
      </w:rPr>
    </w:lvl>
    <w:lvl w:ilvl="6" w:tplc="4E0CAA84" w:tentative="1">
      <w:start w:val="1"/>
      <w:numFmt w:val="bullet"/>
      <w:lvlText w:val="•"/>
      <w:lvlJc w:val="left"/>
      <w:pPr>
        <w:tabs>
          <w:tab w:val="num" w:pos="5040"/>
        </w:tabs>
        <w:ind w:left="5040" w:hanging="360"/>
      </w:pPr>
      <w:rPr>
        <w:rFonts w:ascii="Arial" w:hAnsi="Arial" w:hint="default"/>
      </w:rPr>
    </w:lvl>
    <w:lvl w:ilvl="7" w:tplc="0C7428D2" w:tentative="1">
      <w:start w:val="1"/>
      <w:numFmt w:val="bullet"/>
      <w:lvlText w:val="•"/>
      <w:lvlJc w:val="left"/>
      <w:pPr>
        <w:tabs>
          <w:tab w:val="num" w:pos="5760"/>
        </w:tabs>
        <w:ind w:left="5760" w:hanging="360"/>
      </w:pPr>
      <w:rPr>
        <w:rFonts w:ascii="Arial" w:hAnsi="Arial" w:hint="default"/>
      </w:rPr>
    </w:lvl>
    <w:lvl w:ilvl="8" w:tplc="48622B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240AB1"/>
    <w:multiLevelType w:val="hybridMultilevel"/>
    <w:tmpl w:val="D184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E4E99"/>
    <w:multiLevelType w:val="hybridMultilevel"/>
    <w:tmpl w:val="820697D8"/>
    <w:lvl w:ilvl="0" w:tplc="F6CED40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025A"/>
    <w:multiLevelType w:val="hybridMultilevel"/>
    <w:tmpl w:val="F3547270"/>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15:restartNumberingAfterBreak="0">
    <w:nsid w:val="31AE0E4C"/>
    <w:multiLevelType w:val="hybridMultilevel"/>
    <w:tmpl w:val="4D5E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17" w15:restartNumberingAfterBreak="0">
    <w:nsid w:val="44412F58"/>
    <w:multiLevelType w:val="hybridMultilevel"/>
    <w:tmpl w:val="DBD0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A0B18"/>
    <w:multiLevelType w:val="hybridMultilevel"/>
    <w:tmpl w:val="A77253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DE21D13"/>
    <w:multiLevelType w:val="hybridMultilevel"/>
    <w:tmpl w:val="7FC66C52"/>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DF627DF"/>
    <w:multiLevelType w:val="multilevel"/>
    <w:tmpl w:val="55FACEC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1594D"/>
    <w:multiLevelType w:val="hybridMultilevel"/>
    <w:tmpl w:val="A0A4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E64EE"/>
    <w:multiLevelType w:val="hybridMultilevel"/>
    <w:tmpl w:val="7FD23B5C"/>
    <w:lvl w:ilvl="0" w:tplc="25A6BA2A">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D15DE"/>
    <w:multiLevelType w:val="hybridMultilevel"/>
    <w:tmpl w:val="51EE74BA"/>
    <w:lvl w:ilvl="0" w:tplc="80689738">
      <w:start w:val="1"/>
      <w:numFmt w:val="bullet"/>
      <w:lvlText w:val="•"/>
      <w:lvlJc w:val="left"/>
      <w:pPr>
        <w:tabs>
          <w:tab w:val="num" w:pos="720"/>
        </w:tabs>
        <w:ind w:left="720" w:hanging="360"/>
      </w:pPr>
      <w:rPr>
        <w:rFonts w:ascii="Arial" w:hAnsi="Arial" w:hint="default"/>
      </w:rPr>
    </w:lvl>
    <w:lvl w:ilvl="1" w:tplc="D5D4E5F4" w:tentative="1">
      <w:start w:val="1"/>
      <w:numFmt w:val="bullet"/>
      <w:lvlText w:val="•"/>
      <w:lvlJc w:val="left"/>
      <w:pPr>
        <w:tabs>
          <w:tab w:val="num" w:pos="1440"/>
        </w:tabs>
        <w:ind w:left="1440" w:hanging="360"/>
      </w:pPr>
      <w:rPr>
        <w:rFonts w:ascii="Arial" w:hAnsi="Arial" w:hint="default"/>
      </w:rPr>
    </w:lvl>
    <w:lvl w:ilvl="2" w:tplc="50926100" w:tentative="1">
      <w:start w:val="1"/>
      <w:numFmt w:val="bullet"/>
      <w:lvlText w:val="•"/>
      <w:lvlJc w:val="left"/>
      <w:pPr>
        <w:tabs>
          <w:tab w:val="num" w:pos="2160"/>
        </w:tabs>
        <w:ind w:left="2160" w:hanging="360"/>
      </w:pPr>
      <w:rPr>
        <w:rFonts w:ascii="Arial" w:hAnsi="Arial" w:hint="default"/>
      </w:rPr>
    </w:lvl>
    <w:lvl w:ilvl="3" w:tplc="AC3C04C4" w:tentative="1">
      <w:start w:val="1"/>
      <w:numFmt w:val="bullet"/>
      <w:lvlText w:val="•"/>
      <w:lvlJc w:val="left"/>
      <w:pPr>
        <w:tabs>
          <w:tab w:val="num" w:pos="2880"/>
        </w:tabs>
        <w:ind w:left="2880" w:hanging="360"/>
      </w:pPr>
      <w:rPr>
        <w:rFonts w:ascii="Arial" w:hAnsi="Arial" w:hint="default"/>
      </w:rPr>
    </w:lvl>
    <w:lvl w:ilvl="4" w:tplc="39409924" w:tentative="1">
      <w:start w:val="1"/>
      <w:numFmt w:val="bullet"/>
      <w:lvlText w:val="•"/>
      <w:lvlJc w:val="left"/>
      <w:pPr>
        <w:tabs>
          <w:tab w:val="num" w:pos="3600"/>
        </w:tabs>
        <w:ind w:left="3600" w:hanging="360"/>
      </w:pPr>
      <w:rPr>
        <w:rFonts w:ascii="Arial" w:hAnsi="Arial" w:hint="default"/>
      </w:rPr>
    </w:lvl>
    <w:lvl w:ilvl="5" w:tplc="A67697BC" w:tentative="1">
      <w:start w:val="1"/>
      <w:numFmt w:val="bullet"/>
      <w:lvlText w:val="•"/>
      <w:lvlJc w:val="left"/>
      <w:pPr>
        <w:tabs>
          <w:tab w:val="num" w:pos="4320"/>
        </w:tabs>
        <w:ind w:left="4320" w:hanging="360"/>
      </w:pPr>
      <w:rPr>
        <w:rFonts w:ascii="Arial" w:hAnsi="Arial" w:hint="default"/>
      </w:rPr>
    </w:lvl>
    <w:lvl w:ilvl="6" w:tplc="8C2E3656" w:tentative="1">
      <w:start w:val="1"/>
      <w:numFmt w:val="bullet"/>
      <w:lvlText w:val="•"/>
      <w:lvlJc w:val="left"/>
      <w:pPr>
        <w:tabs>
          <w:tab w:val="num" w:pos="5040"/>
        </w:tabs>
        <w:ind w:left="5040" w:hanging="360"/>
      </w:pPr>
      <w:rPr>
        <w:rFonts w:ascii="Arial" w:hAnsi="Arial" w:hint="default"/>
      </w:rPr>
    </w:lvl>
    <w:lvl w:ilvl="7" w:tplc="CA4A34C0" w:tentative="1">
      <w:start w:val="1"/>
      <w:numFmt w:val="bullet"/>
      <w:lvlText w:val="•"/>
      <w:lvlJc w:val="left"/>
      <w:pPr>
        <w:tabs>
          <w:tab w:val="num" w:pos="5760"/>
        </w:tabs>
        <w:ind w:left="5760" w:hanging="360"/>
      </w:pPr>
      <w:rPr>
        <w:rFonts w:ascii="Arial" w:hAnsi="Arial" w:hint="default"/>
      </w:rPr>
    </w:lvl>
    <w:lvl w:ilvl="8" w:tplc="1E60D2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760BB0"/>
    <w:multiLevelType w:val="hybridMultilevel"/>
    <w:tmpl w:val="47945C98"/>
    <w:lvl w:ilvl="0" w:tplc="8C7AA304">
      <w:start w:val="1"/>
      <w:numFmt w:val="bullet"/>
      <w:lvlText w:val="•"/>
      <w:lvlJc w:val="left"/>
      <w:pPr>
        <w:tabs>
          <w:tab w:val="num" w:pos="720"/>
        </w:tabs>
        <w:ind w:left="720" w:hanging="360"/>
      </w:pPr>
      <w:rPr>
        <w:rFonts w:ascii="Times New Roman" w:hAnsi="Times New Roman" w:hint="default"/>
      </w:rPr>
    </w:lvl>
    <w:lvl w:ilvl="1" w:tplc="79B0E70A" w:tentative="1">
      <w:start w:val="1"/>
      <w:numFmt w:val="bullet"/>
      <w:lvlText w:val="•"/>
      <w:lvlJc w:val="left"/>
      <w:pPr>
        <w:tabs>
          <w:tab w:val="num" w:pos="1440"/>
        </w:tabs>
        <w:ind w:left="1440" w:hanging="360"/>
      </w:pPr>
      <w:rPr>
        <w:rFonts w:ascii="Times New Roman" w:hAnsi="Times New Roman" w:hint="default"/>
      </w:rPr>
    </w:lvl>
    <w:lvl w:ilvl="2" w:tplc="2AD6DB2E" w:tentative="1">
      <w:start w:val="1"/>
      <w:numFmt w:val="bullet"/>
      <w:lvlText w:val="•"/>
      <w:lvlJc w:val="left"/>
      <w:pPr>
        <w:tabs>
          <w:tab w:val="num" w:pos="2160"/>
        </w:tabs>
        <w:ind w:left="2160" w:hanging="360"/>
      </w:pPr>
      <w:rPr>
        <w:rFonts w:ascii="Times New Roman" w:hAnsi="Times New Roman" w:hint="default"/>
      </w:rPr>
    </w:lvl>
    <w:lvl w:ilvl="3" w:tplc="1278DC02" w:tentative="1">
      <w:start w:val="1"/>
      <w:numFmt w:val="bullet"/>
      <w:lvlText w:val="•"/>
      <w:lvlJc w:val="left"/>
      <w:pPr>
        <w:tabs>
          <w:tab w:val="num" w:pos="2880"/>
        </w:tabs>
        <w:ind w:left="2880" w:hanging="360"/>
      </w:pPr>
      <w:rPr>
        <w:rFonts w:ascii="Times New Roman" w:hAnsi="Times New Roman" w:hint="default"/>
      </w:rPr>
    </w:lvl>
    <w:lvl w:ilvl="4" w:tplc="E7E6F29C" w:tentative="1">
      <w:start w:val="1"/>
      <w:numFmt w:val="bullet"/>
      <w:lvlText w:val="•"/>
      <w:lvlJc w:val="left"/>
      <w:pPr>
        <w:tabs>
          <w:tab w:val="num" w:pos="3600"/>
        </w:tabs>
        <w:ind w:left="3600" w:hanging="360"/>
      </w:pPr>
      <w:rPr>
        <w:rFonts w:ascii="Times New Roman" w:hAnsi="Times New Roman" w:hint="default"/>
      </w:rPr>
    </w:lvl>
    <w:lvl w:ilvl="5" w:tplc="F13065A2" w:tentative="1">
      <w:start w:val="1"/>
      <w:numFmt w:val="bullet"/>
      <w:lvlText w:val="•"/>
      <w:lvlJc w:val="left"/>
      <w:pPr>
        <w:tabs>
          <w:tab w:val="num" w:pos="4320"/>
        </w:tabs>
        <w:ind w:left="4320" w:hanging="360"/>
      </w:pPr>
      <w:rPr>
        <w:rFonts w:ascii="Times New Roman" w:hAnsi="Times New Roman" w:hint="default"/>
      </w:rPr>
    </w:lvl>
    <w:lvl w:ilvl="6" w:tplc="655E6574" w:tentative="1">
      <w:start w:val="1"/>
      <w:numFmt w:val="bullet"/>
      <w:lvlText w:val="•"/>
      <w:lvlJc w:val="left"/>
      <w:pPr>
        <w:tabs>
          <w:tab w:val="num" w:pos="5040"/>
        </w:tabs>
        <w:ind w:left="5040" w:hanging="360"/>
      </w:pPr>
      <w:rPr>
        <w:rFonts w:ascii="Times New Roman" w:hAnsi="Times New Roman" w:hint="default"/>
      </w:rPr>
    </w:lvl>
    <w:lvl w:ilvl="7" w:tplc="8562619E" w:tentative="1">
      <w:start w:val="1"/>
      <w:numFmt w:val="bullet"/>
      <w:lvlText w:val="•"/>
      <w:lvlJc w:val="left"/>
      <w:pPr>
        <w:tabs>
          <w:tab w:val="num" w:pos="5760"/>
        </w:tabs>
        <w:ind w:left="5760" w:hanging="360"/>
      </w:pPr>
      <w:rPr>
        <w:rFonts w:ascii="Times New Roman" w:hAnsi="Times New Roman" w:hint="default"/>
      </w:rPr>
    </w:lvl>
    <w:lvl w:ilvl="8" w:tplc="5516A91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FC6558"/>
    <w:multiLevelType w:val="multilevel"/>
    <w:tmpl w:val="1806EEBE"/>
    <w:lvl w:ilvl="0">
      <w:start w:val="1"/>
      <w:numFmt w:val="decimal"/>
      <w:lvlText w:val="%1."/>
      <w:lvlJc w:val="left"/>
      <w:pPr>
        <w:ind w:left="720" w:hanging="360"/>
      </w:pPr>
      <w:rPr>
        <w:rFonts w:hint="default"/>
        <w:color w:val="auto"/>
        <w:sz w:val="28"/>
      </w:rPr>
    </w:lvl>
    <w:lvl w:ilvl="1">
      <w:start w:val="1"/>
      <w:numFmt w:val="decimal"/>
      <w:isLgl/>
      <w:lvlText w:val="%1.%2."/>
      <w:lvlJc w:val="left"/>
      <w:pPr>
        <w:ind w:left="780" w:hanging="420"/>
      </w:pPr>
      <w:rPr>
        <w:rFonts w:asciiTheme="majorHAnsi" w:hAnsiTheme="majorHAnsi" w:cstheme="majorBidi" w:hint="default"/>
        <w:b/>
        <w:i w:val="0"/>
        <w:color w:val="auto"/>
        <w:sz w:val="26"/>
      </w:rPr>
    </w:lvl>
    <w:lvl w:ilvl="2">
      <w:start w:val="1"/>
      <w:numFmt w:val="decimal"/>
      <w:isLgl/>
      <w:lvlText w:val="%1.%2.%3."/>
      <w:lvlJc w:val="left"/>
      <w:pPr>
        <w:ind w:left="1080" w:hanging="720"/>
      </w:pPr>
      <w:rPr>
        <w:rFonts w:asciiTheme="majorHAnsi" w:hAnsiTheme="majorHAnsi" w:cstheme="majorBidi" w:hint="default"/>
        <w:b/>
        <w:i w:val="0"/>
        <w:color w:val="auto"/>
        <w:sz w:val="24"/>
      </w:rPr>
    </w:lvl>
    <w:lvl w:ilvl="3">
      <w:start w:val="1"/>
      <w:numFmt w:val="decimal"/>
      <w:isLgl/>
      <w:lvlText w:val="%1.%2.%3.%4."/>
      <w:lvlJc w:val="left"/>
      <w:pPr>
        <w:ind w:left="1080" w:hanging="720"/>
      </w:pPr>
      <w:rPr>
        <w:rFonts w:asciiTheme="majorHAnsi" w:hAnsiTheme="majorHAnsi" w:cstheme="majorBidi" w:hint="default"/>
        <w:b/>
        <w:i w:val="0"/>
        <w:color w:val="5B9BD5" w:themeColor="accent1"/>
        <w:sz w:val="26"/>
      </w:rPr>
    </w:lvl>
    <w:lvl w:ilvl="4">
      <w:start w:val="1"/>
      <w:numFmt w:val="decimal"/>
      <w:isLgl/>
      <w:lvlText w:val="%1.%2.%3.%4.%5."/>
      <w:lvlJc w:val="left"/>
      <w:pPr>
        <w:ind w:left="1440" w:hanging="1080"/>
      </w:pPr>
      <w:rPr>
        <w:rFonts w:asciiTheme="majorHAnsi" w:hAnsiTheme="majorHAnsi" w:cstheme="majorBidi" w:hint="default"/>
        <w:b/>
        <w:i w:val="0"/>
        <w:color w:val="5B9BD5" w:themeColor="accent1"/>
        <w:sz w:val="26"/>
      </w:rPr>
    </w:lvl>
    <w:lvl w:ilvl="5">
      <w:start w:val="1"/>
      <w:numFmt w:val="decimal"/>
      <w:isLgl/>
      <w:lvlText w:val="%1.%2.%3.%4.%5.%6."/>
      <w:lvlJc w:val="left"/>
      <w:pPr>
        <w:ind w:left="1440" w:hanging="1080"/>
      </w:pPr>
      <w:rPr>
        <w:rFonts w:asciiTheme="majorHAnsi" w:hAnsiTheme="majorHAnsi" w:cstheme="majorBidi" w:hint="default"/>
        <w:b/>
        <w:i w:val="0"/>
        <w:color w:val="5B9BD5" w:themeColor="accent1"/>
        <w:sz w:val="26"/>
      </w:rPr>
    </w:lvl>
    <w:lvl w:ilvl="6">
      <w:start w:val="1"/>
      <w:numFmt w:val="decimal"/>
      <w:isLgl/>
      <w:lvlText w:val="%1.%2.%3.%4.%5.%6.%7."/>
      <w:lvlJc w:val="left"/>
      <w:pPr>
        <w:ind w:left="1800" w:hanging="1440"/>
      </w:pPr>
      <w:rPr>
        <w:rFonts w:asciiTheme="majorHAnsi" w:hAnsiTheme="majorHAnsi" w:cstheme="majorBidi" w:hint="default"/>
        <w:b/>
        <w:i w:val="0"/>
        <w:color w:val="5B9BD5" w:themeColor="accent1"/>
        <w:sz w:val="26"/>
      </w:rPr>
    </w:lvl>
    <w:lvl w:ilvl="7">
      <w:start w:val="1"/>
      <w:numFmt w:val="decimal"/>
      <w:isLgl/>
      <w:lvlText w:val="%1.%2.%3.%4.%5.%6.%7.%8."/>
      <w:lvlJc w:val="left"/>
      <w:pPr>
        <w:ind w:left="1800" w:hanging="1440"/>
      </w:pPr>
      <w:rPr>
        <w:rFonts w:asciiTheme="majorHAnsi" w:hAnsiTheme="majorHAnsi" w:cstheme="majorBidi" w:hint="default"/>
        <w:b/>
        <w:i w:val="0"/>
        <w:color w:val="5B9BD5" w:themeColor="accent1"/>
        <w:sz w:val="26"/>
      </w:rPr>
    </w:lvl>
    <w:lvl w:ilvl="8">
      <w:start w:val="1"/>
      <w:numFmt w:val="decimal"/>
      <w:isLgl/>
      <w:lvlText w:val="%1.%2.%3.%4.%5.%6.%7.%8.%9."/>
      <w:lvlJc w:val="left"/>
      <w:pPr>
        <w:ind w:left="2160" w:hanging="1800"/>
      </w:pPr>
      <w:rPr>
        <w:rFonts w:asciiTheme="majorHAnsi" w:hAnsiTheme="majorHAnsi" w:cstheme="majorBidi" w:hint="default"/>
        <w:b/>
        <w:i w:val="0"/>
        <w:color w:val="5B9BD5" w:themeColor="accent1"/>
        <w:sz w:val="26"/>
      </w:rPr>
    </w:lvl>
  </w:abstractNum>
  <w:abstractNum w:abstractNumId="26" w15:restartNumberingAfterBreak="0">
    <w:nsid w:val="62826493"/>
    <w:multiLevelType w:val="hybridMultilevel"/>
    <w:tmpl w:val="8F1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3745F"/>
    <w:multiLevelType w:val="multilevel"/>
    <w:tmpl w:val="2DEC062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72C634F"/>
    <w:multiLevelType w:val="hybridMultilevel"/>
    <w:tmpl w:val="CF0C9F76"/>
    <w:lvl w:ilvl="0" w:tplc="00C4B4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6D6E6D70"/>
    <w:multiLevelType w:val="multilevel"/>
    <w:tmpl w:val="0374FB62"/>
    <w:lvl w:ilvl="0">
      <w:start w:val="2"/>
      <w:numFmt w:val="decimal"/>
      <w:lvlText w:val="%1."/>
      <w:lvlJc w:val="left"/>
      <w:pPr>
        <w:ind w:left="1440" w:hanging="360"/>
      </w:pPr>
      <w:rPr>
        <w:rFonts w:eastAsia="+mj-ea" w:hint="default"/>
        <w:b/>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15:restartNumberingAfterBreak="0">
    <w:nsid w:val="71FA460E"/>
    <w:multiLevelType w:val="hybridMultilevel"/>
    <w:tmpl w:val="AFF6E834"/>
    <w:lvl w:ilvl="0" w:tplc="96D4C2EE">
      <w:start w:val="1"/>
      <w:numFmt w:val="bullet"/>
      <w:lvlText w:val="•"/>
      <w:lvlJc w:val="left"/>
      <w:pPr>
        <w:tabs>
          <w:tab w:val="num" w:pos="720"/>
        </w:tabs>
        <w:ind w:left="720" w:hanging="360"/>
      </w:pPr>
      <w:rPr>
        <w:rFonts w:ascii="Arial" w:hAnsi="Arial" w:hint="default"/>
      </w:rPr>
    </w:lvl>
    <w:lvl w:ilvl="1" w:tplc="D62CCF78" w:tentative="1">
      <w:start w:val="1"/>
      <w:numFmt w:val="bullet"/>
      <w:lvlText w:val="•"/>
      <w:lvlJc w:val="left"/>
      <w:pPr>
        <w:tabs>
          <w:tab w:val="num" w:pos="1440"/>
        </w:tabs>
        <w:ind w:left="1440" w:hanging="360"/>
      </w:pPr>
      <w:rPr>
        <w:rFonts w:ascii="Arial" w:hAnsi="Arial" w:hint="default"/>
      </w:rPr>
    </w:lvl>
    <w:lvl w:ilvl="2" w:tplc="C66E22DA" w:tentative="1">
      <w:start w:val="1"/>
      <w:numFmt w:val="bullet"/>
      <w:lvlText w:val="•"/>
      <w:lvlJc w:val="left"/>
      <w:pPr>
        <w:tabs>
          <w:tab w:val="num" w:pos="2160"/>
        </w:tabs>
        <w:ind w:left="2160" w:hanging="360"/>
      </w:pPr>
      <w:rPr>
        <w:rFonts w:ascii="Arial" w:hAnsi="Arial" w:hint="default"/>
      </w:rPr>
    </w:lvl>
    <w:lvl w:ilvl="3" w:tplc="85A6C1BE" w:tentative="1">
      <w:start w:val="1"/>
      <w:numFmt w:val="bullet"/>
      <w:lvlText w:val="•"/>
      <w:lvlJc w:val="left"/>
      <w:pPr>
        <w:tabs>
          <w:tab w:val="num" w:pos="2880"/>
        </w:tabs>
        <w:ind w:left="2880" w:hanging="360"/>
      </w:pPr>
      <w:rPr>
        <w:rFonts w:ascii="Arial" w:hAnsi="Arial" w:hint="default"/>
      </w:rPr>
    </w:lvl>
    <w:lvl w:ilvl="4" w:tplc="41BEA4F8" w:tentative="1">
      <w:start w:val="1"/>
      <w:numFmt w:val="bullet"/>
      <w:lvlText w:val="•"/>
      <w:lvlJc w:val="left"/>
      <w:pPr>
        <w:tabs>
          <w:tab w:val="num" w:pos="3600"/>
        </w:tabs>
        <w:ind w:left="3600" w:hanging="360"/>
      </w:pPr>
      <w:rPr>
        <w:rFonts w:ascii="Arial" w:hAnsi="Arial" w:hint="default"/>
      </w:rPr>
    </w:lvl>
    <w:lvl w:ilvl="5" w:tplc="2E18CB22" w:tentative="1">
      <w:start w:val="1"/>
      <w:numFmt w:val="bullet"/>
      <w:lvlText w:val="•"/>
      <w:lvlJc w:val="left"/>
      <w:pPr>
        <w:tabs>
          <w:tab w:val="num" w:pos="4320"/>
        </w:tabs>
        <w:ind w:left="4320" w:hanging="360"/>
      </w:pPr>
      <w:rPr>
        <w:rFonts w:ascii="Arial" w:hAnsi="Arial" w:hint="default"/>
      </w:rPr>
    </w:lvl>
    <w:lvl w:ilvl="6" w:tplc="7B247554" w:tentative="1">
      <w:start w:val="1"/>
      <w:numFmt w:val="bullet"/>
      <w:lvlText w:val="•"/>
      <w:lvlJc w:val="left"/>
      <w:pPr>
        <w:tabs>
          <w:tab w:val="num" w:pos="5040"/>
        </w:tabs>
        <w:ind w:left="5040" w:hanging="360"/>
      </w:pPr>
      <w:rPr>
        <w:rFonts w:ascii="Arial" w:hAnsi="Arial" w:hint="default"/>
      </w:rPr>
    </w:lvl>
    <w:lvl w:ilvl="7" w:tplc="A736494A" w:tentative="1">
      <w:start w:val="1"/>
      <w:numFmt w:val="bullet"/>
      <w:lvlText w:val="•"/>
      <w:lvlJc w:val="left"/>
      <w:pPr>
        <w:tabs>
          <w:tab w:val="num" w:pos="5760"/>
        </w:tabs>
        <w:ind w:left="5760" w:hanging="360"/>
      </w:pPr>
      <w:rPr>
        <w:rFonts w:ascii="Arial" w:hAnsi="Arial" w:hint="default"/>
      </w:rPr>
    </w:lvl>
    <w:lvl w:ilvl="8" w:tplc="EBC22B6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321CBE"/>
    <w:multiLevelType w:val="multilevel"/>
    <w:tmpl w:val="B928BA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982085"/>
    <w:multiLevelType w:val="hybridMultilevel"/>
    <w:tmpl w:val="1BD07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5306667">
    <w:abstractNumId w:val="16"/>
  </w:num>
  <w:num w:numId="2" w16cid:durableId="1779636290">
    <w:abstractNumId w:val="9"/>
  </w:num>
  <w:num w:numId="3" w16cid:durableId="287585172">
    <w:abstractNumId w:val="28"/>
  </w:num>
  <w:num w:numId="4" w16cid:durableId="886264504">
    <w:abstractNumId w:val="21"/>
  </w:num>
  <w:num w:numId="5" w16cid:durableId="1910268070">
    <w:abstractNumId w:val="5"/>
  </w:num>
  <w:num w:numId="6" w16cid:durableId="145324449">
    <w:abstractNumId w:val="15"/>
  </w:num>
  <w:num w:numId="7" w16cid:durableId="1399985033">
    <w:abstractNumId w:val="17"/>
  </w:num>
  <w:num w:numId="8" w16cid:durableId="2084905888">
    <w:abstractNumId w:val="20"/>
  </w:num>
  <w:num w:numId="9" w16cid:durableId="1018656901">
    <w:abstractNumId w:val="22"/>
  </w:num>
  <w:num w:numId="10" w16cid:durableId="280578676">
    <w:abstractNumId w:val="19"/>
  </w:num>
  <w:num w:numId="11" w16cid:durableId="923415830">
    <w:abstractNumId w:val="25"/>
  </w:num>
  <w:num w:numId="12" w16cid:durableId="1592351701">
    <w:abstractNumId w:val="10"/>
  </w:num>
  <w:num w:numId="13" w16cid:durableId="422148541">
    <w:abstractNumId w:val="27"/>
  </w:num>
  <w:num w:numId="14" w16cid:durableId="1722051516">
    <w:abstractNumId w:val="1"/>
  </w:num>
  <w:num w:numId="15" w16cid:durableId="1091970811">
    <w:abstractNumId w:val="13"/>
  </w:num>
  <w:num w:numId="16" w16cid:durableId="1037774385">
    <w:abstractNumId w:val="29"/>
  </w:num>
  <w:num w:numId="17" w16cid:durableId="1571889150">
    <w:abstractNumId w:val="26"/>
  </w:num>
  <w:num w:numId="18" w16cid:durableId="280384778">
    <w:abstractNumId w:val="8"/>
  </w:num>
  <w:num w:numId="19" w16cid:durableId="155538114">
    <w:abstractNumId w:val="23"/>
  </w:num>
  <w:num w:numId="20" w16cid:durableId="1584491030">
    <w:abstractNumId w:val="2"/>
  </w:num>
  <w:num w:numId="21" w16cid:durableId="596864631">
    <w:abstractNumId w:val="14"/>
  </w:num>
  <w:num w:numId="22" w16cid:durableId="1755324475">
    <w:abstractNumId w:val="30"/>
  </w:num>
  <w:num w:numId="23" w16cid:durableId="1767774814">
    <w:abstractNumId w:val="12"/>
  </w:num>
  <w:num w:numId="24" w16cid:durableId="563756403">
    <w:abstractNumId w:val="18"/>
  </w:num>
  <w:num w:numId="25" w16cid:durableId="179658950">
    <w:abstractNumId w:val="24"/>
  </w:num>
  <w:num w:numId="26" w16cid:durableId="1478761340">
    <w:abstractNumId w:val="6"/>
  </w:num>
  <w:num w:numId="27" w16cid:durableId="2043095422">
    <w:abstractNumId w:val="3"/>
  </w:num>
  <w:num w:numId="28" w16cid:durableId="1751001945">
    <w:abstractNumId w:val="4"/>
  </w:num>
  <w:num w:numId="29" w16cid:durableId="334380705">
    <w:abstractNumId w:val="7"/>
  </w:num>
  <w:num w:numId="30" w16cid:durableId="2117754151">
    <w:abstractNumId w:val="11"/>
  </w:num>
  <w:num w:numId="31" w16cid:durableId="1996178985">
    <w:abstractNumId w:val="32"/>
  </w:num>
  <w:num w:numId="32" w16cid:durableId="1332871427">
    <w:abstractNumId w:val="0"/>
  </w:num>
  <w:num w:numId="33" w16cid:durableId="1393890986">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64C"/>
    <w:rsid w:val="00000D3E"/>
    <w:rsid w:val="000019AC"/>
    <w:rsid w:val="00003014"/>
    <w:rsid w:val="000062A6"/>
    <w:rsid w:val="00006DAD"/>
    <w:rsid w:val="00010562"/>
    <w:rsid w:val="0001165A"/>
    <w:rsid w:val="000119D4"/>
    <w:rsid w:val="00013A8A"/>
    <w:rsid w:val="00013D83"/>
    <w:rsid w:val="00014843"/>
    <w:rsid w:val="00014B65"/>
    <w:rsid w:val="000177D6"/>
    <w:rsid w:val="00020187"/>
    <w:rsid w:val="000203CF"/>
    <w:rsid w:val="00021AAF"/>
    <w:rsid w:val="00022C27"/>
    <w:rsid w:val="0002333D"/>
    <w:rsid w:val="000235A3"/>
    <w:rsid w:val="00034AA0"/>
    <w:rsid w:val="00040C63"/>
    <w:rsid w:val="00040FD3"/>
    <w:rsid w:val="00041618"/>
    <w:rsid w:val="00041C09"/>
    <w:rsid w:val="00041D96"/>
    <w:rsid w:val="00044850"/>
    <w:rsid w:val="00045E6C"/>
    <w:rsid w:val="000467B4"/>
    <w:rsid w:val="00047A07"/>
    <w:rsid w:val="000519B6"/>
    <w:rsid w:val="00051EF1"/>
    <w:rsid w:val="00052CEF"/>
    <w:rsid w:val="00054E0D"/>
    <w:rsid w:val="00055509"/>
    <w:rsid w:val="00056A84"/>
    <w:rsid w:val="00057F29"/>
    <w:rsid w:val="00061291"/>
    <w:rsid w:val="00063D7E"/>
    <w:rsid w:val="0006546B"/>
    <w:rsid w:val="00067824"/>
    <w:rsid w:val="00067F98"/>
    <w:rsid w:val="000713B6"/>
    <w:rsid w:val="00071B8C"/>
    <w:rsid w:val="000749FF"/>
    <w:rsid w:val="00075100"/>
    <w:rsid w:val="000761DD"/>
    <w:rsid w:val="00077D91"/>
    <w:rsid w:val="0008147B"/>
    <w:rsid w:val="00082FE8"/>
    <w:rsid w:val="00085F7D"/>
    <w:rsid w:val="00090828"/>
    <w:rsid w:val="00093308"/>
    <w:rsid w:val="000A372F"/>
    <w:rsid w:val="000B04B4"/>
    <w:rsid w:val="000B26B5"/>
    <w:rsid w:val="000C15E2"/>
    <w:rsid w:val="000C2D13"/>
    <w:rsid w:val="000C4567"/>
    <w:rsid w:val="000D0F30"/>
    <w:rsid w:val="000D2337"/>
    <w:rsid w:val="000D7AF2"/>
    <w:rsid w:val="000E0D61"/>
    <w:rsid w:val="000E31D0"/>
    <w:rsid w:val="000E46A6"/>
    <w:rsid w:val="000E6CED"/>
    <w:rsid w:val="000F0905"/>
    <w:rsid w:val="000F1744"/>
    <w:rsid w:val="000F1D32"/>
    <w:rsid w:val="000F3745"/>
    <w:rsid w:val="000F6C74"/>
    <w:rsid w:val="000F7220"/>
    <w:rsid w:val="000F751A"/>
    <w:rsid w:val="001030EA"/>
    <w:rsid w:val="001049DE"/>
    <w:rsid w:val="00105245"/>
    <w:rsid w:val="00105ED9"/>
    <w:rsid w:val="00111AF1"/>
    <w:rsid w:val="001138A7"/>
    <w:rsid w:val="00115D16"/>
    <w:rsid w:val="00123773"/>
    <w:rsid w:val="00123EBB"/>
    <w:rsid w:val="00125DA7"/>
    <w:rsid w:val="00130174"/>
    <w:rsid w:val="00132193"/>
    <w:rsid w:val="00133384"/>
    <w:rsid w:val="001345A6"/>
    <w:rsid w:val="00142721"/>
    <w:rsid w:val="00144C22"/>
    <w:rsid w:val="00151058"/>
    <w:rsid w:val="001636A7"/>
    <w:rsid w:val="001673FA"/>
    <w:rsid w:val="001723D6"/>
    <w:rsid w:val="001726AF"/>
    <w:rsid w:val="00174954"/>
    <w:rsid w:val="0017647C"/>
    <w:rsid w:val="0018129B"/>
    <w:rsid w:val="00181919"/>
    <w:rsid w:val="00185013"/>
    <w:rsid w:val="00187B86"/>
    <w:rsid w:val="00187E69"/>
    <w:rsid w:val="00190B67"/>
    <w:rsid w:val="00192C90"/>
    <w:rsid w:val="00193A27"/>
    <w:rsid w:val="00194097"/>
    <w:rsid w:val="0019563B"/>
    <w:rsid w:val="0019609B"/>
    <w:rsid w:val="0019661B"/>
    <w:rsid w:val="00197132"/>
    <w:rsid w:val="00197B96"/>
    <w:rsid w:val="00197DE7"/>
    <w:rsid w:val="001A0BD7"/>
    <w:rsid w:val="001A210B"/>
    <w:rsid w:val="001B542E"/>
    <w:rsid w:val="001C1953"/>
    <w:rsid w:val="001C410F"/>
    <w:rsid w:val="001D1C42"/>
    <w:rsid w:val="001D1F7B"/>
    <w:rsid w:val="001D49D8"/>
    <w:rsid w:val="001D5D8F"/>
    <w:rsid w:val="001D63AD"/>
    <w:rsid w:val="001D7351"/>
    <w:rsid w:val="001E09CC"/>
    <w:rsid w:val="001E491D"/>
    <w:rsid w:val="001F0376"/>
    <w:rsid w:val="001F0884"/>
    <w:rsid w:val="001F1FAB"/>
    <w:rsid w:val="001F354E"/>
    <w:rsid w:val="00203538"/>
    <w:rsid w:val="00203690"/>
    <w:rsid w:val="00206BD9"/>
    <w:rsid w:val="00207642"/>
    <w:rsid w:val="00210485"/>
    <w:rsid w:val="00211B78"/>
    <w:rsid w:val="00211FD8"/>
    <w:rsid w:val="0022442D"/>
    <w:rsid w:val="002257E3"/>
    <w:rsid w:val="00231434"/>
    <w:rsid w:val="002362D2"/>
    <w:rsid w:val="00241509"/>
    <w:rsid w:val="0024344D"/>
    <w:rsid w:val="00243F1A"/>
    <w:rsid w:val="00251E91"/>
    <w:rsid w:val="002540EE"/>
    <w:rsid w:val="002543C4"/>
    <w:rsid w:val="00255FE6"/>
    <w:rsid w:val="00256A7F"/>
    <w:rsid w:val="0025711E"/>
    <w:rsid w:val="0026033C"/>
    <w:rsid w:val="002606B6"/>
    <w:rsid w:val="002669C6"/>
    <w:rsid w:val="0027264C"/>
    <w:rsid w:val="00274CA6"/>
    <w:rsid w:val="00275325"/>
    <w:rsid w:val="00277854"/>
    <w:rsid w:val="00280529"/>
    <w:rsid w:val="00281D29"/>
    <w:rsid w:val="00282213"/>
    <w:rsid w:val="00282682"/>
    <w:rsid w:val="0028589E"/>
    <w:rsid w:val="0029013E"/>
    <w:rsid w:val="00291EFC"/>
    <w:rsid w:val="0029202A"/>
    <w:rsid w:val="00293040"/>
    <w:rsid w:val="0029332D"/>
    <w:rsid w:val="00294290"/>
    <w:rsid w:val="00297CDF"/>
    <w:rsid w:val="002A4615"/>
    <w:rsid w:val="002A4DA7"/>
    <w:rsid w:val="002B0E56"/>
    <w:rsid w:val="002B4950"/>
    <w:rsid w:val="002B7C02"/>
    <w:rsid w:val="002C00F6"/>
    <w:rsid w:val="002C50DF"/>
    <w:rsid w:val="002D1804"/>
    <w:rsid w:val="002D4A78"/>
    <w:rsid w:val="002D60B8"/>
    <w:rsid w:val="002E2ECD"/>
    <w:rsid w:val="002E30D3"/>
    <w:rsid w:val="002F0422"/>
    <w:rsid w:val="002F1E3A"/>
    <w:rsid w:val="002F2F6F"/>
    <w:rsid w:val="002F4450"/>
    <w:rsid w:val="00301C3D"/>
    <w:rsid w:val="00301FE0"/>
    <w:rsid w:val="0030286D"/>
    <w:rsid w:val="003056D4"/>
    <w:rsid w:val="00310249"/>
    <w:rsid w:val="00310FBF"/>
    <w:rsid w:val="0031215D"/>
    <w:rsid w:val="00312C20"/>
    <w:rsid w:val="00313E02"/>
    <w:rsid w:val="00316F63"/>
    <w:rsid w:val="003200E5"/>
    <w:rsid w:val="00321FCD"/>
    <w:rsid w:val="00332485"/>
    <w:rsid w:val="00332833"/>
    <w:rsid w:val="00332DBF"/>
    <w:rsid w:val="0033302A"/>
    <w:rsid w:val="00333712"/>
    <w:rsid w:val="00337F66"/>
    <w:rsid w:val="00341F1D"/>
    <w:rsid w:val="003420D1"/>
    <w:rsid w:val="003421F4"/>
    <w:rsid w:val="0034531D"/>
    <w:rsid w:val="003455C5"/>
    <w:rsid w:val="003464B3"/>
    <w:rsid w:val="00347BA6"/>
    <w:rsid w:val="00350DD6"/>
    <w:rsid w:val="0035474C"/>
    <w:rsid w:val="0035573C"/>
    <w:rsid w:val="00355C7F"/>
    <w:rsid w:val="00361AD5"/>
    <w:rsid w:val="00365202"/>
    <w:rsid w:val="003707D5"/>
    <w:rsid w:val="00371971"/>
    <w:rsid w:val="003726C1"/>
    <w:rsid w:val="00373D1C"/>
    <w:rsid w:val="00374BC9"/>
    <w:rsid w:val="00381BE4"/>
    <w:rsid w:val="0038200A"/>
    <w:rsid w:val="003823FC"/>
    <w:rsid w:val="00384232"/>
    <w:rsid w:val="003904EB"/>
    <w:rsid w:val="00395CA7"/>
    <w:rsid w:val="00396F7D"/>
    <w:rsid w:val="003A3D86"/>
    <w:rsid w:val="003A7CFA"/>
    <w:rsid w:val="003B2B97"/>
    <w:rsid w:val="003B306E"/>
    <w:rsid w:val="003B7654"/>
    <w:rsid w:val="003D130F"/>
    <w:rsid w:val="003D6DBC"/>
    <w:rsid w:val="003E2246"/>
    <w:rsid w:val="003E6B0D"/>
    <w:rsid w:val="003E76A4"/>
    <w:rsid w:val="003F3864"/>
    <w:rsid w:val="003F4CD9"/>
    <w:rsid w:val="003F5476"/>
    <w:rsid w:val="003F7933"/>
    <w:rsid w:val="004008DE"/>
    <w:rsid w:val="00401AE0"/>
    <w:rsid w:val="0040204F"/>
    <w:rsid w:val="004046FE"/>
    <w:rsid w:val="00406644"/>
    <w:rsid w:val="00410A15"/>
    <w:rsid w:val="0041100F"/>
    <w:rsid w:val="0041391B"/>
    <w:rsid w:val="00420463"/>
    <w:rsid w:val="00421B8E"/>
    <w:rsid w:val="004226EC"/>
    <w:rsid w:val="00423485"/>
    <w:rsid w:val="0042480B"/>
    <w:rsid w:val="00427458"/>
    <w:rsid w:val="00427799"/>
    <w:rsid w:val="00430F2E"/>
    <w:rsid w:val="00431185"/>
    <w:rsid w:val="00431F62"/>
    <w:rsid w:val="004359D2"/>
    <w:rsid w:val="00440CD1"/>
    <w:rsid w:val="0044156B"/>
    <w:rsid w:val="00447D1F"/>
    <w:rsid w:val="00462D00"/>
    <w:rsid w:val="00463DB5"/>
    <w:rsid w:val="00465CF0"/>
    <w:rsid w:val="004719A8"/>
    <w:rsid w:val="00474441"/>
    <w:rsid w:val="0048168C"/>
    <w:rsid w:val="00487595"/>
    <w:rsid w:val="00491859"/>
    <w:rsid w:val="004937C8"/>
    <w:rsid w:val="00494D56"/>
    <w:rsid w:val="00496826"/>
    <w:rsid w:val="004A0D9E"/>
    <w:rsid w:val="004A1142"/>
    <w:rsid w:val="004A29EF"/>
    <w:rsid w:val="004A3050"/>
    <w:rsid w:val="004A61A8"/>
    <w:rsid w:val="004B0787"/>
    <w:rsid w:val="004C12FB"/>
    <w:rsid w:val="004C1AFE"/>
    <w:rsid w:val="004C606C"/>
    <w:rsid w:val="004C79E1"/>
    <w:rsid w:val="004C7B32"/>
    <w:rsid w:val="004D03B6"/>
    <w:rsid w:val="004E0276"/>
    <w:rsid w:val="004E6FC4"/>
    <w:rsid w:val="004F0FA1"/>
    <w:rsid w:val="004F4B45"/>
    <w:rsid w:val="004F4C5A"/>
    <w:rsid w:val="004F6DBB"/>
    <w:rsid w:val="005003A6"/>
    <w:rsid w:val="00501CFE"/>
    <w:rsid w:val="00501E30"/>
    <w:rsid w:val="00505354"/>
    <w:rsid w:val="005066A4"/>
    <w:rsid w:val="00511529"/>
    <w:rsid w:val="00512004"/>
    <w:rsid w:val="00522239"/>
    <w:rsid w:val="0052424E"/>
    <w:rsid w:val="00527FAD"/>
    <w:rsid w:val="00530036"/>
    <w:rsid w:val="00532FE8"/>
    <w:rsid w:val="00533E2A"/>
    <w:rsid w:val="005442B8"/>
    <w:rsid w:val="00545437"/>
    <w:rsid w:val="00545A2F"/>
    <w:rsid w:val="0054618D"/>
    <w:rsid w:val="00546C60"/>
    <w:rsid w:val="00550328"/>
    <w:rsid w:val="00555A25"/>
    <w:rsid w:val="00555D0D"/>
    <w:rsid w:val="00560AA0"/>
    <w:rsid w:val="00571454"/>
    <w:rsid w:val="005738F7"/>
    <w:rsid w:val="00577736"/>
    <w:rsid w:val="0057776F"/>
    <w:rsid w:val="005829F5"/>
    <w:rsid w:val="00586B38"/>
    <w:rsid w:val="00587700"/>
    <w:rsid w:val="00590344"/>
    <w:rsid w:val="005935F6"/>
    <w:rsid w:val="00596E86"/>
    <w:rsid w:val="005A12F7"/>
    <w:rsid w:val="005A60D1"/>
    <w:rsid w:val="005B088A"/>
    <w:rsid w:val="005B2E9A"/>
    <w:rsid w:val="005B3E77"/>
    <w:rsid w:val="005B5815"/>
    <w:rsid w:val="005B618C"/>
    <w:rsid w:val="005C18D0"/>
    <w:rsid w:val="005C5364"/>
    <w:rsid w:val="005C56F5"/>
    <w:rsid w:val="005D454D"/>
    <w:rsid w:val="005D5E9B"/>
    <w:rsid w:val="005D6006"/>
    <w:rsid w:val="005D6B32"/>
    <w:rsid w:val="005E30D4"/>
    <w:rsid w:val="005E4C67"/>
    <w:rsid w:val="005E71B9"/>
    <w:rsid w:val="005F078A"/>
    <w:rsid w:val="005F52D3"/>
    <w:rsid w:val="005F5393"/>
    <w:rsid w:val="005F725E"/>
    <w:rsid w:val="00601F84"/>
    <w:rsid w:val="006045ED"/>
    <w:rsid w:val="00605480"/>
    <w:rsid w:val="00610F91"/>
    <w:rsid w:val="00613BBE"/>
    <w:rsid w:val="00616BDC"/>
    <w:rsid w:val="00617380"/>
    <w:rsid w:val="00622779"/>
    <w:rsid w:val="00623E5E"/>
    <w:rsid w:val="006277BF"/>
    <w:rsid w:val="00627E60"/>
    <w:rsid w:val="00630935"/>
    <w:rsid w:val="00632329"/>
    <w:rsid w:val="00640881"/>
    <w:rsid w:val="00640FC5"/>
    <w:rsid w:val="00643B86"/>
    <w:rsid w:val="0064432A"/>
    <w:rsid w:val="0064498C"/>
    <w:rsid w:val="00651F1C"/>
    <w:rsid w:val="00652C3C"/>
    <w:rsid w:val="00654D26"/>
    <w:rsid w:val="00654D83"/>
    <w:rsid w:val="00663596"/>
    <w:rsid w:val="006653D0"/>
    <w:rsid w:val="00665B3C"/>
    <w:rsid w:val="00671FBB"/>
    <w:rsid w:val="006726EA"/>
    <w:rsid w:val="006727FF"/>
    <w:rsid w:val="006766AB"/>
    <w:rsid w:val="00680DBA"/>
    <w:rsid w:val="00681B49"/>
    <w:rsid w:val="006843DF"/>
    <w:rsid w:val="00686A88"/>
    <w:rsid w:val="00687471"/>
    <w:rsid w:val="00691EBE"/>
    <w:rsid w:val="00693AFF"/>
    <w:rsid w:val="006A0DBC"/>
    <w:rsid w:val="006A3587"/>
    <w:rsid w:val="006A5B77"/>
    <w:rsid w:val="006B0D2E"/>
    <w:rsid w:val="006B102A"/>
    <w:rsid w:val="006B123C"/>
    <w:rsid w:val="006B45D7"/>
    <w:rsid w:val="006C0684"/>
    <w:rsid w:val="006C249B"/>
    <w:rsid w:val="006C32D8"/>
    <w:rsid w:val="006C4492"/>
    <w:rsid w:val="006C539B"/>
    <w:rsid w:val="006C6652"/>
    <w:rsid w:val="006C753D"/>
    <w:rsid w:val="006D02F9"/>
    <w:rsid w:val="006D0D7C"/>
    <w:rsid w:val="006D0EF1"/>
    <w:rsid w:val="006E06D3"/>
    <w:rsid w:val="006E2930"/>
    <w:rsid w:val="006E405C"/>
    <w:rsid w:val="006F42AD"/>
    <w:rsid w:val="006F5DE7"/>
    <w:rsid w:val="00712DEA"/>
    <w:rsid w:val="007131C6"/>
    <w:rsid w:val="00714FD7"/>
    <w:rsid w:val="00716BFE"/>
    <w:rsid w:val="0072154B"/>
    <w:rsid w:val="00724D5F"/>
    <w:rsid w:val="00727911"/>
    <w:rsid w:val="007308BF"/>
    <w:rsid w:val="00734057"/>
    <w:rsid w:val="00734F7B"/>
    <w:rsid w:val="00741FCD"/>
    <w:rsid w:val="007420C2"/>
    <w:rsid w:val="00742C01"/>
    <w:rsid w:val="00744C68"/>
    <w:rsid w:val="00747369"/>
    <w:rsid w:val="0074757F"/>
    <w:rsid w:val="0076050D"/>
    <w:rsid w:val="00766C15"/>
    <w:rsid w:val="0077244F"/>
    <w:rsid w:val="00775FAA"/>
    <w:rsid w:val="00776E31"/>
    <w:rsid w:val="0078513E"/>
    <w:rsid w:val="0079212B"/>
    <w:rsid w:val="007921F2"/>
    <w:rsid w:val="00795670"/>
    <w:rsid w:val="007969D8"/>
    <w:rsid w:val="007A275B"/>
    <w:rsid w:val="007A3EBB"/>
    <w:rsid w:val="007A5FCE"/>
    <w:rsid w:val="007A639C"/>
    <w:rsid w:val="007B29DE"/>
    <w:rsid w:val="007B54FB"/>
    <w:rsid w:val="007C39C4"/>
    <w:rsid w:val="007C51BA"/>
    <w:rsid w:val="007C5489"/>
    <w:rsid w:val="007C5DCC"/>
    <w:rsid w:val="007C69C1"/>
    <w:rsid w:val="007C79A2"/>
    <w:rsid w:val="007D1AAE"/>
    <w:rsid w:val="007D2AC6"/>
    <w:rsid w:val="007D306E"/>
    <w:rsid w:val="007D58AA"/>
    <w:rsid w:val="007D74A9"/>
    <w:rsid w:val="007E2B1F"/>
    <w:rsid w:val="007F0547"/>
    <w:rsid w:val="007F2716"/>
    <w:rsid w:val="007F4201"/>
    <w:rsid w:val="007F601A"/>
    <w:rsid w:val="007F69C9"/>
    <w:rsid w:val="007F7968"/>
    <w:rsid w:val="0080745E"/>
    <w:rsid w:val="00807C49"/>
    <w:rsid w:val="00811674"/>
    <w:rsid w:val="00813A0A"/>
    <w:rsid w:val="0081757A"/>
    <w:rsid w:val="008175A7"/>
    <w:rsid w:val="00820B6F"/>
    <w:rsid w:val="00824039"/>
    <w:rsid w:val="0082594D"/>
    <w:rsid w:val="008273F4"/>
    <w:rsid w:val="008369FA"/>
    <w:rsid w:val="00837D99"/>
    <w:rsid w:val="00840C38"/>
    <w:rsid w:val="00844935"/>
    <w:rsid w:val="008449F1"/>
    <w:rsid w:val="00845CEC"/>
    <w:rsid w:val="008462F5"/>
    <w:rsid w:val="0085306F"/>
    <w:rsid w:val="00857325"/>
    <w:rsid w:val="00857BC8"/>
    <w:rsid w:val="00862C5D"/>
    <w:rsid w:val="00863ECC"/>
    <w:rsid w:val="00865339"/>
    <w:rsid w:val="0086558E"/>
    <w:rsid w:val="008676CB"/>
    <w:rsid w:val="00867779"/>
    <w:rsid w:val="0087098B"/>
    <w:rsid w:val="008710D3"/>
    <w:rsid w:val="00871328"/>
    <w:rsid w:val="00872ACF"/>
    <w:rsid w:val="008746E3"/>
    <w:rsid w:val="00874791"/>
    <w:rsid w:val="0087537A"/>
    <w:rsid w:val="0087756B"/>
    <w:rsid w:val="00877DE7"/>
    <w:rsid w:val="00881D6E"/>
    <w:rsid w:val="00883511"/>
    <w:rsid w:val="00886CAF"/>
    <w:rsid w:val="008873D7"/>
    <w:rsid w:val="0088781A"/>
    <w:rsid w:val="00887AB9"/>
    <w:rsid w:val="008903F1"/>
    <w:rsid w:val="0089340C"/>
    <w:rsid w:val="008A1AD4"/>
    <w:rsid w:val="008A605D"/>
    <w:rsid w:val="008B158C"/>
    <w:rsid w:val="008B37C1"/>
    <w:rsid w:val="008B633A"/>
    <w:rsid w:val="008B6989"/>
    <w:rsid w:val="008C0EE5"/>
    <w:rsid w:val="008C5278"/>
    <w:rsid w:val="008C62CA"/>
    <w:rsid w:val="008C7B17"/>
    <w:rsid w:val="008D10EE"/>
    <w:rsid w:val="008D27D1"/>
    <w:rsid w:val="008D3AF3"/>
    <w:rsid w:val="008D4E41"/>
    <w:rsid w:val="008D5CC6"/>
    <w:rsid w:val="008E12E6"/>
    <w:rsid w:val="008E23C8"/>
    <w:rsid w:val="008E4239"/>
    <w:rsid w:val="008E5300"/>
    <w:rsid w:val="008E7143"/>
    <w:rsid w:val="008F19DA"/>
    <w:rsid w:val="008F2309"/>
    <w:rsid w:val="008F51E3"/>
    <w:rsid w:val="00902845"/>
    <w:rsid w:val="009032C2"/>
    <w:rsid w:val="00910CED"/>
    <w:rsid w:val="00910FD0"/>
    <w:rsid w:val="00913700"/>
    <w:rsid w:val="00914F82"/>
    <w:rsid w:val="00923C4F"/>
    <w:rsid w:val="00924ABE"/>
    <w:rsid w:val="00925D1E"/>
    <w:rsid w:val="00926508"/>
    <w:rsid w:val="00931FA4"/>
    <w:rsid w:val="0094333E"/>
    <w:rsid w:val="00954A32"/>
    <w:rsid w:val="0095517D"/>
    <w:rsid w:val="009577B5"/>
    <w:rsid w:val="00960491"/>
    <w:rsid w:val="009638C2"/>
    <w:rsid w:val="00967D1D"/>
    <w:rsid w:val="00971CB6"/>
    <w:rsid w:val="00972CB8"/>
    <w:rsid w:val="00974D87"/>
    <w:rsid w:val="00975BAC"/>
    <w:rsid w:val="00977AAA"/>
    <w:rsid w:val="00977F96"/>
    <w:rsid w:val="0098131A"/>
    <w:rsid w:val="0098339F"/>
    <w:rsid w:val="00984EF6"/>
    <w:rsid w:val="009902AE"/>
    <w:rsid w:val="00991E96"/>
    <w:rsid w:val="00997075"/>
    <w:rsid w:val="009A2950"/>
    <w:rsid w:val="009A2E8F"/>
    <w:rsid w:val="009A3D0F"/>
    <w:rsid w:val="009A56C5"/>
    <w:rsid w:val="009A6996"/>
    <w:rsid w:val="009A7AD4"/>
    <w:rsid w:val="009B0940"/>
    <w:rsid w:val="009B2924"/>
    <w:rsid w:val="009B4448"/>
    <w:rsid w:val="009B663F"/>
    <w:rsid w:val="009B66B3"/>
    <w:rsid w:val="009C0519"/>
    <w:rsid w:val="009C117C"/>
    <w:rsid w:val="009C1316"/>
    <w:rsid w:val="009C257B"/>
    <w:rsid w:val="009D19BE"/>
    <w:rsid w:val="009D5C0F"/>
    <w:rsid w:val="009E0004"/>
    <w:rsid w:val="009E4943"/>
    <w:rsid w:val="009E5518"/>
    <w:rsid w:val="009E75C8"/>
    <w:rsid w:val="009F0903"/>
    <w:rsid w:val="00A035A0"/>
    <w:rsid w:val="00A03C01"/>
    <w:rsid w:val="00A03C99"/>
    <w:rsid w:val="00A06EF7"/>
    <w:rsid w:val="00A07C2F"/>
    <w:rsid w:val="00A109D0"/>
    <w:rsid w:val="00A12E16"/>
    <w:rsid w:val="00A178A5"/>
    <w:rsid w:val="00A22E37"/>
    <w:rsid w:val="00A2459F"/>
    <w:rsid w:val="00A2698D"/>
    <w:rsid w:val="00A33C6D"/>
    <w:rsid w:val="00A34F62"/>
    <w:rsid w:val="00A3692A"/>
    <w:rsid w:val="00A423C6"/>
    <w:rsid w:val="00A449E2"/>
    <w:rsid w:val="00A4630A"/>
    <w:rsid w:val="00A51726"/>
    <w:rsid w:val="00A51A65"/>
    <w:rsid w:val="00A51C55"/>
    <w:rsid w:val="00A51F41"/>
    <w:rsid w:val="00A556E7"/>
    <w:rsid w:val="00A561BE"/>
    <w:rsid w:val="00A566C4"/>
    <w:rsid w:val="00A56A97"/>
    <w:rsid w:val="00A62582"/>
    <w:rsid w:val="00A632D1"/>
    <w:rsid w:val="00A64162"/>
    <w:rsid w:val="00A65903"/>
    <w:rsid w:val="00A67B68"/>
    <w:rsid w:val="00A705E9"/>
    <w:rsid w:val="00A7113B"/>
    <w:rsid w:val="00A72324"/>
    <w:rsid w:val="00A7249A"/>
    <w:rsid w:val="00A730B1"/>
    <w:rsid w:val="00A75F3B"/>
    <w:rsid w:val="00A76961"/>
    <w:rsid w:val="00A76F68"/>
    <w:rsid w:val="00A8049E"/>
    <w:rsid w:val="00A84E3D"/>
    <w:rsid w:val="00A8672F"/>
    <w:rsid w:val="00A86E71"/>
    <w:rsid w:val="00A9142C"/>
    <w:rsid w:val="00A91FA8"/>
    <w:rsid w:val="00A92D8F"/>
    <w:rsid w:val="00A9476F"/>
    <w:rsid w:val="00A96374"/>
    <w:rsid w:val="00A9702F"/>
    <w:rsid w:val="00A972EB"/>
    <w:rsid w:val="00AB12AD"/>
    <w:rsid w:val="00AB1B63"/>
    <w:rsid w:val="00AB248F"/>
    <w:rsid w:val="00AB60DA"/>
    <w:rsid w:val="00AB699A"/>
    <w:rsid w:val="00AB6B38"/>
    <w:rsid w:val="00AC40BA"/>
    <w:rsid w:val="00AC62E2"/>
    <w:rsid w:val="00AC6B87"/>
    <w:rsid w:val="00AC7BE2"/>
    <w:rsid w:val="00AD3BBE"/>
    <w:rsid w:val="00AD6458"/>
    <w:rsid w:val="00AE2BF4"/>
    <w:rsid w:val="00AE3D13"/>
    <w:rsid w:val="00AE5D53"/>
    <w:rsid w:val="00AE66DD"/>
    <w:rsid w:val="00AF6BFC"/>
    <w:rsid w:val="00AF6C1E"/>
    <w:rsid w:val="00B0010B"/>
    <w:rsid w:val="00B00655"/>
    <w:rsid w:val="00B017B3"/>
    <w:rsid w:val="00B0325A"/>
    <w:rsid w:val="00B109E3"/>
    <w:rsid w:val="00B13DA0"/>
    <w:rsid w:val="00B17B82"/>
    <w:rsid w:val="00B208CD"/>
    <w:rsid w:val="00B30CCE"/>
    <w:rsid w:val="00B323FC"/>
    <w:rsid w:val="00B33787"/>
    <w:rsid w:val="00B36E06"/>
    <w:rsid w:val="00B372E4"/>
    <w:rsid w:val="00B4375D"/>
    <w:rsid w:val="00B43AB6"/>
    <w:rsid w:val="00B44372"/>
    <w:rsid w:val="00B449BD"/>
    <w:rsid w:val="00B451BB"/>
    <w:rsid w:val="00B50F9A"/>
    <w:rsid w:val="00B53F97"/>
    <w:rsid w:val="00B546A2"/>
    <w:rsid w:val="00B6352F"/>
    <w:rsid w:val="00B63969"/>
    <w:rsid w:val="00B70268"/>
    <w:rsid w:val="00B7383A"/>
    <w:rsid w:val="00B82A78"/>
    <w:rsid w:val="00B84C1F"/>
    <w:rsid w:val="00B92A6A"/>
    <w:rsid w:val="00BA06B5"/>
    <w:rsid w:val="00BA2CC7"/>
    <w:rsid w:val="00BA66BD"/>
    <w:rsid w:val="00BA7D62"/>
    <w:rsid w:val="00BB05C7"/>
    <w:rsid w:val="00BB1458"/>
    <w:rsid w:val="00BB1AAF"/>
    <w:rsid w:val="00BB3992"/>
    <w:rsid w:val="00BB3BF5"/>
    <w:rsid w:val="00BB73DE"/>
    <w:rsid w:val="00BC1D2A"/>
    <w:rsid w:val="00BC5E15"/>
    <w:rsid w:val="00BC7596"/>
    <w:rsid w:val="00BD1789"/>
    <w:rsid w:val="00BD1B99"/>
    <w:rsid w:val="00BD2B83"/>
    <w:rsid w:val="00BD5F1F"/>
    <w:rsid w:val="00BE1703"/>
    <w:rsid w:val="00BE5832"/>
    <w:rsid w:val="00BE6EB7"/>
    <w:rsid w:val="00BF288B"/>
    <w:rsid w:val="00BF314D"/>
    <w:rsid w:val="00BF62D0"/>
    <w:rsid w:val="00C019A7"/>
    <w:rsid w:val="00C0211C"/>
    <w:rsid w:val="00C0384F"/>
    <w:rsid w:val="00C05705"/>
    <w:rsid w:val="00C05F05"/>
    <w:rsid w:val="00C10266"/>
    <w:rsid w:val="00C10D88"/>
    <w:rsid w:val="00C13CD9"/>
    <w:rsid w:val="00C2148C"/>
    <w:rsid w:val="00C2161D"/>
    <w:rsid w:val="00C226DF"/>
    <w:rsid w:val="00C234EB"/>
    <w:rsid w:val="00C240E9"/>
    <w:rsid w:val="00C316E1"/>
    <w:rsid w:val="00C348A5"/>
    <w:rsid w:val="00C37ABC"/>
    <w:rsid w:val="00C43189"/>
    <w:rsid w:val="00C44E71"/>
    <w:rsid w:val="00C50350"/>
    <w:rsid w:val="00C52F20"/>
    <w:rsid w:val="00C53F84"/>
    <w:rsid w:val="00C6063D"/>
    <w:rsid w:val="00C614C3"/>
    <w:rsid w:val="00C61B33"/>
    <w:rsid w:val="00C62466"/>
    <w:rsid w:val="00C62E72"/>
    <w:rsid w:val="00C63505"/>
    <w:rsid w:val="00C65331"/>
    <w:rsid w:val="00C659A0"/>
    <w:rsid w:val="00C70E97"/>
    <w:rsid w:val="00C7482E"/>
    <w:rsid w:val="00C868E8"/>
    <w:rsid w:val="00C87059"/>
    <w:rsid w:val="00C87F57"/>
    <w:rsid w:val="00C9251E"/>
    <w:rsid w:val="00C93655"/>
    <w:rsid w:val="00C97B83"/>
    <w:rsid w:val="00CA0A44"/>
    <w:rsid w:val="00CA2A81"/>
    <w:rsid w:val="00CA5B45"/>
    <w:rsid w:val="00CA5E44"/>
    <w:rsid w:val="00CA6AE8"/>
    <w:rsid w:val="00CA6F24"/>
    <w:rsid w:val="00CA77B9"/>
    <w:rsid w:val="00CB01E8"/>
    <w:rsid w:val="00CB0484"/>
    <w:rsid w:val="00CB571B"/>
    <w:rsid w:val="00CC04EB"/>
    <w:rsid w:val="00CC3AAE"/>
    <w:rsid w:val="00CC5FDC"/>
    <w:rsid w:val="00CD2302"/>
    <w:rsid w:val="00CD4916"/>
    <w:rsid w:val="00CD67C9"/>
    <w:rsid w:val="00CD7631"/>
    <w:rsid w:val="00CE1E1D"/>
    <w:rsid w:val="00CE3EF0"/>
    <w:rsid w:val="00CE501D"/>
    <w:rsid w:val="00CE5AF5"/>
    <w:rsid w:val="00CF1356"/>
    <w:rsid w:val="00CF199C"/>
    <w:rsid w:val="00CF1CD0"/>
    <w:rsid w:val="00CF55A5"/>
    <w:rsid w:val="00D012B0"/>
    <w:rsid w:val="00D01981"/>
    <w:rsid w:val="00D02047"/>
    <w:rsid w:val="00D05520"/>
    <w:rsid w:val="00D05CD6"/>
    <w:rsid w:val="00D1030F"/>
    <w:rsid w:val="00D105C8"/>
    <w:rsid w:val="00D1715A"/>
    <w:rsid w:val="00D1751A"/>
    <w:rsid w:val="00D234B0"/>
    <w:rsid w:val="00D24BD8"/>
    <w:rsid w:val="00D262A0"/>
    <w:rsid w:val="00D279B5"/>
    <w:rsid w:val="00D30132"/>
    <w:rsid w:val="00D3399A"/>
    <w:rsid w:val="00D33E1D"/>
    <w:rsid w:val="00D34E00"/>
    <w:rsid w:val="00D35123"/>
    <w:rsid w:val="00D35229"/>
    <w:rsid w:val="00D3580A"/>
    <w:rsid w:val="00D35C0F"/>
    <w:rsid w:val="00D4227F"/>
    <w:rsid w:val="00D427F6"/>
    <w:rsid w:val="00D43F50"/>
    <w:rsid w:val="00D502EC"/>
    <w:rsid w:val="00D51573"/>
    <w:rsid w:val="00D5182C"/>
    <w:rsid w:val="00D51CCE"/>
    <w:rsid w:val="00D53E07"/>
    <w:rsid w:val="00D61004"/>
    <w:rsid w:val="00D64A3A"/>
    <w:rsid w:val="00D7077C"/>
    <w:rsid w:val="00D71D69"/>
    <w:rsid w:val="00D75F1C"/>
    <w:rsid w:val="00D77391"/>
    <w:rsid w:val="00D85BDE"/>
    <w:rsid w:val="00D87890"/>
    <w:rsid w:val="00D928CB"/>
    <w:rsid w:val="00DA5CE3"/>
    <w:rsid w:val="00DA6185"/>
    <w:rsid w:val="00DA62E0"/>
    <w:rsid w:val="00DB09C3"/>
    <w:rsid w:val="00DB2DE5"/>
    <w:rsid w:val="00DB71BC"/>
    <w:rsid w:val="00DC0282"/>
    <w:rsid w:val="00DC0809"/>
    <w:rsid w:val="00DC2478"/>
    <w:rsid w:val="00DC38A3"/>
    <w:rsid w:val="00DC4C6E"/>
    <w:rsid w:val="00DD3092"/>
    <w:rsid w:val="00DD62CE"/>
    <w:rsid w:val="00DD6B37"/>
    <w:rsid w:val="00DD7CDD"/>
    <w:rsid w:val="00DE054F"/>
    <w:rsid w:val="00DE5E56"/>
    <w:rsid w:val="00DF4525"/>
    <w:rsid w:val="00DF6EAE"/>
    <w:rsid w:val="00E01B3E"/>
    <w:rsid w:val="00E03038"/>
    <w:rsid w:val="00E0548C"/>
    <w:rsid w:val="00E07BF8"/>
    <w:rsid w:val="00E141B6"/>
    <w:rsid w:val="00E15554"/>
    <w:rsid w:val="00E20099"/>
    <w:rsid w:val="00E2193B"/>
    <w:rsid w:val="00E24099"/>
    <w:rsid w:val="00E256D7"/>
    <w:rsid w:val="00E25D2B"/>
    <w:rsid w:val="00E334A7"/>
    <w:rsid w:val="00E360D8"/>
    <w:rsid w:val="00E3775F"/>
    <w:rsid w:val="00E37D42"/>
    <w:rsid w:val="00E4077D"/>
    <w:rsid w:val="00E407A3"/>
    <w:rsid w:val="00E42DAE"/>
    <w:rsid w:val="00E43F62"/>
    <w:rsid w:val="00E45727"/>
    <w:rsid w:val="00E45A86"/>
    <w:rsid w:val="00E4665F"/>
    <w:rsid w:val="00E476F4"/>
    <w:rsid w:val="00E50B9D"/>
    <w:rsid w:val="00E5315B"/>
    <w:rsid w:val="00E53D53"/>
    <w:rsid w:val="00E56771"/>
    <w:rsid w:val="00E651E6"/>
    <w:rsid w:val="00E8009C"/>
    <w:rsid w:val="00E81555"/>
    <w:rsid w:val="00E8248C"/>
    <w:rsid w:val="00E85903"/>
    <w:rsid w:val="00E9060C"/>
    <w:rsid w:val="00E906CF"/>
    <w:rsid w:val="00E92BC5"/>
    <w:rsid w:val="00E95485"/>
    <w:rsid w:val="00E962B4"/>
    <w:rsid w:val="00EA3FC2"/>
    <w:rsid w:val="00EA49DE"/>
    <w:rsid w:val="00EA4A1F"/>
    <w:rsid w:val="00EB27D1"/>
    <w:rsid w:val="00EB33FE"/>
    <w:rsid w:val="00EB3C3F"/>
    <w:rsid w:val="00ED0144"/>
    <w:rsid w:val="00ED170A"/>
    <w:rsid w:val="00ED1C2A"/>
    <w:rsid w:val="00ED4DB7"/>
    <w:rsid w:val="00ED50A4"/>
    <w:rsid w:val="00ED56DC"/>
    <w:rsid w:val="00ED6FB3"/>
    <w:rsid w:val="00EE10B1"/>
    <w:rsid w:val="00EE2E89"/>
    <w:rsid w:val="00EF08C6"/>
    <w:rsid w:val="00EF39D1"/>
    <w:rsid w:val="00F127A9"/>
    <w:rsid w:val="00F158D7"/>
    <w:rsid w:val="00F25A52"/>
    <w:rsid w:val="00F26483"/>
    <w:rsid w:val="00F32A97"/>
    <w:rsid w:val="00F34AC3"/>
    <w:rsid w:val="00F36D89"/>
    <w:rsid w:val="00F36FE2"/>
    <w:rsid w:val="00F379C3"/>
    <w:rsid w:val="00F42B66"/>
    <w:rsid w:val="00F447A0"/>
    <w:rsid w:val="00F46EB8"/>
    <w:rsid w:val="00F50457"/>
    <w:rsid w:val="00F5476A"/>
    <w:rsid w:val="00F57805"/>
    <w:rsid w:val="00F63152"/>
    <w:rsid w:val="00F63536"/>
    <w:rsid w:val="00F64EEB"/>
    <w:rsid w:val="00F67E0B"/>
    <w:rsid w:val="00F72E6A"/>
    <w:rsid w:val="00F75528"/>
    <w:rsid w:val="00F77C66"/>
    <w:rsid w:val="00F82AEC"/>
    <w:rsid w:val="00F833F5"/>
    <w:rsid w:val="00F91F29"/>
    <w:rsid w:val="00F9544D"/>
    <w:rsid w:val="00F96043"/>
    <w:rsid w:val="00F96077"/>
    <w:rsid w:val="00F9641E"/>
    <w:rsid w:val="00F97DA9"/>
    <w:rsid w:val="00FA1608"/>
    <w:rsid w:val="00FA1B41"/>
    <w:rsid w:val="00FA1BE4"/>
    <w:rsid w:val="00FA5BC2"/>
    <w:rsid w:val="00FA76B7"/>
    <w:rsid w:val="00FB43C6"/>
    <w:rsid w:val="00FB4C6E"/>
    <w:rsid w:val="00FB53E1"/>
    <w:rsid w:val="00FB64C4"/>
    <w:rsid w:val="00FC0F3C"/>
    <w:rsid w:val="00FC0F94"/>
    <w:rsid w:val="00FC471D"/>
    <w:rsid w:val="00FC5C28"/>
    <w:rsid w:val="00FD0F5F"/>
    <w:rsid w:val="00FD768A"/>
    <w:rsid w:val="00FE15BE"/>
    <w:rsid w:val="00FE16FC"/>
    <w:rsid w:val="00FE1FAF"/>
    <w:rsid w:val="00FE446C"/>
    <w:rsid w:val="00FE5928"/>
    <w:rsid w:val="00FE6595"/>
    <w:rsid w:val="00FE776E"/>
    <w:rsid w:val="00FF0EBE"/>
    <w:rsid w:val="00FF1B3E"/>
    <w:rsid w:val="00FF5EC6"/>
    <w:rsid w:val="00FF6DFC"/>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77969"/>
  <w15:docId w15:val="{AEDBE1C5-614C-4F1B-83C9-414300E5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lang w:val="it-IT" w:eastAsia="it-IT"/>
    </w:rPr>
  </w:style>
  <w:style w:type="paragraph" w:styleId="Heading1">
    <w:name w:val="heading 1"/>
    <w:basedOn w:val="Normal"/>
    <w:next w:val="Normal"/>
    <w:link w:val="Heading1Char"/>
    <w:uiPriority w:val="9"/>
    <w:qFormat/>
    <w:pPr>
      <w:keepNext/>
      <w:spacing w:before="480" w:after="240"/>
      <w:outlineLvl w:val="0"/>
    </w:pPr>
    <w:rPr>
      <w:b/>
      <w:caps/>
      <w:lang w:bidi="fa-IR"/>
    </w:rPr>
  </w:style>
  <w:style w:type="paragraph" w:styleId="Heading2">
    <w:name w:val="heading 2"/>
    <w:basedOn w:val="Normal"/>
    <w:next w:val="Normal"/>
    <w:link w:val="Heading2Char"/>
    <w:uiPriority w:val="9"/>
    <w:qFormat/>
    <w:pPr>
      <w:keepNext/>
      <w:spacing w:before="240" w:after="240"/>
      <w:outlineLvl w:val="1"/>
    </w:pPr>
    <w:rPr>
      <w:b/>
    </w:rPr>
  </w:style>
  <w:style w:type="paragraph" w:styleId="Heading3">
    <w:name w:val="heading 3"/>
    <w:basedOn w:val="Normal"/>
    <w:next w:val="1"/>
    <w:link w:val="Heading3Char"/>
    <w:uiPriority w:val="9"/>
    <w:qFormat/>
    <w:pPr>
      <w:ind w:left="354"/>
      <w:outlineLvl w:val="2"/>
    </w:pPr>
    <w:rPr>
      <w:u w:val="single"/>
    </w:rPr>
  </w:style>
  <w:style w:type="paragraph" w:styleId="Heading4">
    <w:name w:val="heading 4"/>
    <w:basedOn w:val="Normal"/>
    <w:next w:val="Normal"/>
    <w:link w:val="Heading4Char"/>
    <w:uiPriority w:val="9"/>
    <w:qFormat/>
    <w:rsid w:val="0095517D"/>
    <w:pPr>
      <w:keepNext/>
      <w:tabs>
        <w:tab w:val="num" w:pos="864"/>
      </w:tabs>
      <w:spacing w:before="240" w:after="60"/>
      <w:ind w:left="864" w:hanging="864"/>
      <w:jc w:val="left"/>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uiPriority w:val="9"/>
    <w:qFormat/>
    <w:rsid w:val="0095517D"/>
    <w:pPr>
      <w:tabs>
        <w:tab w:val="num" w:pos="1008"/>
      </w:tabs>
      <w:spacing w:before="240" w:after="60"/>
      <w:ind w:left="1008" w:hanging="1008"/>
      <w:jc w:val="left"/>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uiPriority w:val="9"/>
    <w:qFormat/>
    <w:rsid w:val="0095517D"/>
    <w:pPr>
      <w:tabs>
        <w:tab w:val="num" w:pos="1152"/>
      </w:tabs>
      <w:spacing w:before="240" w:after="60"/>
      <w:ind w:left="1152" w:hanging="1152"/>
      <w:jc w:val="left"/>
      <w:outlineLvl w:val="5"/>
    </w:pPr>
    <w:rPr>
      <w:rFonts w:ascii="Times New Roman" w:eastAsia="Times New Roman" w:hAnsi="Times New Roman"/>
      <w:b/>
      <w:bCs/>
      <w:sz w:val="22"/>
      <w:szCs w:val="22"/>
      <w:lang w:val="x-none" w:eastAsia="x-none"/>
    </w:rPr>
  </w:style>
  <w:style w:type="paragraph" w:styleId="Heading7">
    <w:name w:val="heading 7"/>
    <w:basedOn w:val="Normal"/>
    <w:next w:val="Normal"/>
    <w:link w:val="Heading7Char"/>
    <w:uiPriority w:val="9"/>
    <w:qFormat/>
    <w:rsid w:val="0095517D"/>
    <w:pPr>
      <w:tabs>
        <w:tab w:val="num" w:pos="1296"/>
      </w:tabs>
      <w:spacing w:before="240" w:after="60"/>
      <w:ind w:left="1296" w:hanging="1296"/>
      <w:jc w:val="left"/>
      <w:outlineLvl w:val="6"/>
    </w:pPr>
    <w:rPr>
      <w:rFonts w:ascii="Times New Roman" w:eastAsia="Times New Roman" w:hAnsi="Times New Roman"/>
      <w:sz w:val="24"/>
      <w:szCs w:val="24"/>
      <w:lang w:val="x-none" w:eastAsia="x-none"/>
    </w:rPr>
  </w:style>
  <w:style w:type="paragraph" w:styleId="Heading8">
    <w:name w:val="heading 8"/>
    <w:basedOn w:val="Normal"/>
    <w:next w:val="Normal"/>
    <w:link w:val="Heading8Char"/>
    <w:uiPriority w:val="9"/>
    <w:qFormat/>
    <w:rsid w:val="0095517D"/>
    <w:pPr>
      <w:tabs>
        <w:tab w:val="num" w:pos="1440"/>
      </w:tabs>
      <w:spacing w:before="240" w:after="60"/>
      <w:ind w:left="1440" w:hanging="1440"/>
      <w:jc w:val="left"/>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uiPriority w:val="9"/>
    <w:qFormat/>
    <w:rsid w:val="0095517D"/>
    <w:pPr>
      <w:tabs>
        <w:tab w:val="num" w:pos="1584"/>
      </w:tabs>
      <w:spacing w:before="240" w:after="60"/>
      <w:ind w:left="1584" w:hanging="1584"/>
      <w:jc w:val="left"/>
      <w:outlineLvl w:val="8"/>
    </w:pPr>
    <w:rPr>
      <w:rFonts w:ascii="Arial" w:eastAsia="Times New Roman"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uiPriority w:val="9"/>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table" w:customStyle="1" w:styleId="TableGridLight1">
    <w:name w:val="Table Grid Light1"/>
    <w:basedOn w:val="TableNormal"/>
    <w:uiPriority w:val="40"/>
    <w:rsid w:val="00640F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Sub Article,Heading II,List Paragraph (numbered (a)),Numbered List Paragraph,List Paragraph1,List bullet,List Paragraph11,Evidence on Demand bullet points,CEIL PEAKS bullet points,Scriptoria bullet points,bullets,NEW INDENT,references"/>
    <w:basedOn w:val="Normal"/>
    <w:link w:val="ListParagraphChar"/>
    <w:uiPriority w:val="34"/>
    <w:qFormat/>
    <w:rsid w:val="00640FC5"/>
    <w:pPr>
      <w:ind w:firstLineChars="200" w:firstLine="420"/>
    </w:pPr>
  </w:style>
  <w:style w:type="table" w:customStyle="1" w:styleId="TableGrid0">
    <w:name w:val="TableGrid"/>
    <w:rsid w:val="00590344"/>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character" w:customStyle="1" w:styleId="markedcontent">
    <w:name w:val="markedcontent"/>
    <w:basedOn w:val="DefaultParagraphFont"/>
    <w:rsid w:val="00D75F1C"/>
  </w:style>
  <w:style w:type="paragraph" w:styleId="Caption">
    <w:name w:val="caption"/>
    <w:basedOn w:val="Normal"/>
    <w:next w:val="Normal"/>
    <w:uiPriority w:val="35"/>
    <w:unhideWhenUsed/>
    <w:qFormat/>
    <w:rsid w:val="004A29EF"/>
    <w:pPr>
      <w:spacing w:after="200"/>
    </w:pPr>
    <w:rPr>
      <w:b/>
      <w:bCs/>
      <w:color w:val="5B9BD5" w:themeColor="accent1"/>
      <w:sz w:val="18"/>
      <w:szCs w:val="18"/>
    </w:rPr>
  </w:style>
  <w:style w:type="table" w:customStyle="1" w:styleId="LightShading1">
    <w:name w:val="Light Shading1"/>
    <w:basedOn w:val="TableNormal"/>
    <w:uiPriority w:val="60"/>
    <w:rsid w:val="002A4615"/>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
    <w:name w:val="Heading 4 Char"/>
    <w:basedOn w:val="DefaultParagraphFont"/>
    <w:link w:val="Heading4"/>
    <w:uiPriority w:val="9"/>
    <w:rsid w:val="0095517D"/>
    <w:rPr>
      <w:rFonts w:ascii="Times New Roman" w:eastAsia="Times New Roman" w:hAnsi="Times New Roman"/>
      <w:b/>
      <w:bCs/>
      <w:sz w:val="28"/>
      <w:szCs w:val="28"/>
      <w:lang w:val="x-none" w:eastAsia="x-none"/>
    </w:rPr>
  </w:style>
  <w:style w:type="character" w:customStyle="1" w:styleId="Heading5Char">
    <w:name w:val="Heading 5 Char"/>
    <w:basedOn w:val="DefaultParagraphFont"/>
    <w:link w:val="Heading5"/>
    <w:uiPriority w:val="9"/>
    <w:rsid w:val="0095517D"/>
    <w:rPr>
      <w:rFonts w:ascii="Times New Roman" w:eastAsia="Times New Roman" w:hAnsi="Times New Roman"/>
      <w:b/>
      <w:bCs/>
      <w:i/>
      <w:iCs/>
      <w:sz w:val="26"/>
      <w:szCs w:val="26"/>
      <w:lang w:val="x-none" w:eastAsia="x-none"/>
    </w:rPr>
  </w:style>
  <w:style w:type="character" w:customStyle="1" w:styleId="Heading6Char">
    <w:name w:val="Heading 6 Char"/>
    <w:basedOn w:val="DefaultParagraphFont"/>
    <w:link w:val="Heading6"/>
    <w:uiPriority w:val="9"/>
    <w:rsid w:val="0095517D"/>
    <w:rPr>
      <w:rFonts w:ascii="Times New Roman" w:eastAsia="Times New Roman" w:hAnsi="Times New Roman"/>
      <w:b/>
      <w:bCs/>
      <w:sz w:val="22"/>
      <w:szCs w:val="22"/>
      <w:lang w:val="x-none" w:eastAsia="x-none"/>
    </w:rPr>
  </w:style>
  <w:style w:type="character" w:customStyle="1" w:styleId="Heading7Char">
    <w:name w:val="Heading 7 Char"/>
    <w:basedOn w:val="DefaultParagraphFont"/>
    <w:link w:val="Heading7"/>
    <w:uiPriority w:val="9"/>
    <w:rsid w:val="0095517D"/>
    <w:rPr>
      <w:rFonts w:ascii="Times New Roman" w:eastAsia="Times New Roman" w:hAnsi="Times New Roman"/>
      <w:sz w:val="24"/>
      <w:szCs w:val="24"/>
      <w:lang w:val="x-none" w:eastAsia="x-none"/>
    </w:rPr>
  </w:style>
  <w:style w:type="character" w:customStyle="1" w:styleId="Heading8Char">
    <w:name w:val="Heading 8 Char"/>
    <w:basedOn w:val="DefaultParagraphFont"/>
    <w:link w:val="Heading8"/>
    <w:uiPriority w:val="9"/>
    <w:rsid w:val="0095517D"/>
    <w:rPr>
      <w:rFonts w:ascii="Times New Roman" w:eastAsia="Times New Roman" w:hAnsi="Times New Roman"/>
      <w:i/>
      <w:iCs/>
      <w:sz w:val="24"/>
      <w:szCs w:val="24"/>
      <w:lang w:val="x-none" w:eastAsia="x-none"/>
    </w:rPr>
  </w:style>
  <w:style w:type="character" w:customStyle="1" w:styleId="Heading9Char">
    <w:name w:val="Heading 9 Char"/>
    <w:basedOn w:val="DefaultParagraphFont"/>
    <w:link w:val="Heading9"/>
    <w:uiPriority w:val="9"/>
    <w:rsid w:val="0095517D"/>
    <w:rPr>
      <w:rFonts w:ascii="Arial" w:eastAsia="Times New Roman" w:hAnsi="Arial"/>
      <w:sz w:val="22"/>
      <w:szCs w:val="22"/>
      <w:lang w:val="x-none" w:eastAsia="x-none"/>
    </w:rPr>
  </w:style>
  <w:style w:type="character" w:customStyle="1" w:styleId="ListParagraphChar">
    <w:name w:val="List Paragraph Char"/>
    <w:aliases w:val="Sub Article Char,Heading II Char,List Paragraph (numbered (a)) Char,Numbered List Paragraph Char,List Paragraph1 Char,List bullet Char,List Paragraph11 Char,Evidence on Demand bullet points Char,CEIL PEAKS bullet points Char"/>
    <w:basedOn w:val="DefaultParagraphFont"/>
    <w:link w:val="ListParagraph"/>
    <w:uiPriority w:val="34"/>
    <w:rsid w:val="0095517D"/>
    <w:rPr>
      <w:rFonts w:ascii="Times" w:hAnsi="Times"/>
      <w:lang w:val="it-IT" w:eastAsia="it-IT"/>
    </w:rPr>
  </w:style>
  <w:style w:type="paragraph" w:styleId="NormalWeb">
    <w:name w:val="Normal (Web)"/>
    <w:aliases w:val="Normal (Web) Char Char Char Char Char"/>
    <w:basedOn w:val="Normal"/>
    <w:link w:val="NormalWebChar"/>
    <w:uiPriority w:val="99"/>
    <w:unhideWhenUsed/>
    <w:qFormat/>
    <w:rsid w:val="0095517D"/>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95517D"/>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95517D"/>
    <w:rPr>
      <w:rFonts w:ascii="Calibri" w:eastAsia="Calibri" w:hAnsi="Calibri" w:cs="Calibri"/>
      <w:noProof/>
      <w:sz w:val="22"/>
      <w:szCs w:val="22"/>
      <w:lang w:eastAsia="en-US"/>
    </w:rPr>
  </w:style>
  <w:style w:type="character" w:customStyle="1" w:styleId="Heading2Char">
    <w:name w:val="Heading 2 Char"/>
    <w:basedOn w:val="DefaultParagraphFont"/>
    <w:link w:val="Heading2"/>
    <w:uiPriority w:val="9"/>
    <w:rsid w:val="0095517D"/>
    <w:rPr>
      <w:rFonts w:ascii="Times" w:hAnsi="Times"/>
      <w:b/>
      <w:lang w:val="it-IT" w:eastAsia="it-IT"/>
    </w:rPr>
  </w:style>
  <w:style w:type="character" w:customStyle="1" w:styleId="Heading3Char">
    <w:name w:val="Heading 3 Char"/>
    <w:basedOn w:val="DefaultParagraphFont"/>
    <w:link w:val="Heading3"/>
    <w:uiPriority w:val="9"/>
    <w:rsid w:val="0095517D"/>
    <w:rPr>
      <w:rFonts w:ascii="Times" w:hAnsi="Times"/>
      <w:u w:val="single"/>
      <w:lang w:val="it-IT" w:eastAsia="it-IT"/>
    </w:rPr>
  </w:style>
  <w:style w:type="numbering" w:customStyle="1" w:styleId="NoList1">
    <w:name w:val="No List1"/>
    <w:next w:val="NoList"/>
    <w:uiPriority w:val="99"/>
    <w:semiHidden/>
    <w:unhideWhenUsed/>
    <w:rsid w:val="0095517D"/>
  </w:style>
  <w:style w:type="paragraph" w:customStyle="1" w:styleId="TableParagraph">
    <w:name w:val="Table Paragraph"/>
    <w:basedOn w:val="Normal"/>
    <w:uiPriority w:val="1"/>
    <w:qFormat/>
    <w:rsid w:val="0095517D"/>
    <w:pPr>
      <w:widowControl w:val="0"/>
      <w:autoSpaceDE w:val="0"/>
      <w:autoSpaceDN w:val="0"/>
      <w:jc w:val="left"/>
    </w:pPr>
    <w:rPr>
      <w:rFonts w:ascii="Times New Roman" w:eastAsia="Times New Roman" w:hAnsi="Times New Roman"/>
      <w:sz w:val="22"/>
      <w:szCs w:val="22"/>
      <w:lang w:val="en-US" w:eastAsia="en-US"/>
    </w:rPr>
  </w:style>
  <w:style w:type="paragraph" w:styleId="NoSpacing">
    <w:name w:val="No Spacing"/>
    <w:link w:val="NoSpacingChar"/>
    <w:uiPriority w:val="1"/>
    <w:qFormat/>
    <w:rsid w:val="0095517D"/>
    <w:rPr>
      <w:rFonts w:ascii="Calibri" w:eastAsia="Calibri" w:hAnsi="Calibri"/>
      <w:sz w:val="22"/>
      <w:szCs w:val="22"/>
      <w:lang w:eastAsia="en-US"/>
    </w:rPr>
  </w:style>
  <w:style w:type="character" w:customStyle="1" w:styleId="NoSpacingChar">
    <w:name w:val="No Spacing Char"/>
    <w:link w:val="NoSpacing"/>
    <w:uiPriority w:val="1"/>
    <w:rsid w:val="0095517D"/>
    <w:rPr>
      <w:rFonts w:ascii="Calibri" w:eastAsia="Calibri" w:hAnsi="Calibri"/>
      <w:sz w:val="22"/>
      <w:szCs w:val="22"/>
      <w:lang w:eastAsia="en-US"/>
    </w:rPr>
  </w:style>
  <w:style w:type="character" w:customStyle="1" w:styleId="BalloonTextChar1">
    <w:name w:val="Balloon Text Char1"/>
    <w:basedOn w:val="DefaultParagraphFont"/>
    <w:uiPriority w:val="99"/>
    <w:semiHidden/>
    <w:rsid w:val="0095517D"/>
    <w:rPr>
      <w:rFonts w:ascii="Segoe UI" w:eastAsia="Times New Roman" w:hAnsi="Segoe UI" w:cs="Segoe UI"/>
      <w:sz w:val="18"/>
      <w:szCs w:val="18"/>
    </w:rPr>
  </w:style>
  <w:style w:type="paragraph" w:customStyle="1" w:styleId="TOC11">
    <w:name w:val="TOC 11"/>
    <w:basedOn w:val="Normal"/>
    <w:next w:val="Normal"/>
    <w:autoRedefine/>
    <w:uiPriority w:val="39"/>
    <w:unhideWhenUsed/>
    <w:qFormat/>
    <w:rsid w:val="0095517D"/>
    <w:pPr>
      <w:tabs>
        <w:tab w:val="right" w:leader="dot" w:pos="9017"/>
      </w:tabs>
      <w:spacing w:before="120" w:after="120" w:line="259" w:lineRule="auto"/>
    </w:pPr>
    <w:rPr>
      <w:rFonts w:ascii="Calibri" w:eastAsia="Calibri" w:hAnsi="Calibri" w:cs="Calibri"/>
      <w:b/>
      <w:bCs/>
      <w:caps/>
      <w:lang w:val="en-US" w:eastAsia="en-US"/>
    </w:rPr>
  </w:style>
  <w:style w:type="paragraph" w:customStyle="1" w:styleId="TOC21">
    <w:name w:val="TOC 21"/>
    <w:basedOn w:val="Normal"/>
    <w:next w:val="Normal"/>
    <w:autoRedefine/>
    <w:uiPriority w:val="39"/>
    <w:unhideWhenUsed/>
    <w:qFormat/>
    <w:rsid w:val="0095517D"/>
    <w:pPr>
      <w:spacing w:line="259" w:lineRule="auto"/>
      <w:ind w:left="220"/>
      <w:jc w:val="left"/>
    </w:pPr>
    <w:rPr>
      <w:rFonts w:ascii="Calibri" w:eastAsia="Calibri" w:hAnsi="Calibri" w:cs="Calibri"/>
      <w:smallCaps/>
      <w:lang w:val="en-US" w:eastAsia="en-US"/>
    </w:rPr>
  </w:style>
  <w:style w:type="paragraph" w:customStyle="1" w:styleId="TOC31">
    <w:name w:val="TOC 31"/>
    <w:basedOn w:val="Normal"/>
    <w:next w:val="Normal"/>
    <w:autoRedefine/>
    <w:uiPriority w:val="39"/>
    <w:unhideWhenUsed/>
    <w:qFormat/>
    <w:rsid w:val="0095517D"/>
    <w:pPr>
      <w:spacing w:line="259" w:lineRule="auto"/>
      <w:ind w:left="440"/>
      <w:jc w:val="left"/>
    </w:pPr>
    <w:rPr>
      <w:rFonts w:ascii="Calibri" w:eastAsia="Calibri" w:hAnsi="Calibri" w:cs="Calibri"/>
      <w:i/>
      <w:iCs/>
      <w:lang w:val="en-US" w:eastAsia="en-US"/>
    </w:rPr>
  </w:style>
  <w:style w:type="character" w:customStyle="1" w:styleId="algouri">
    <w:name w:val="algouri"/>
    <w:rsid w:val="0095517D"/>
    <w:rPr>
      <w:strike w:val="0"/>
      <w:dstrike w:val="0"/>
      <w:color w:val="0E7744"/>
      <w:sz w:val="18"/>
      <w:szCs w:val="18"/>
      <w:u w:val="none"/>
      <w:effect w:val="none"/>
    </w:rPr>
  </w:style>
  <w:style w:type="character" w:customStyle="1" w:styleId="A3">
    <w:name w:val="A3"/>
    <w:uiPriority w:val="99"/>
    <w:rsid w:val="0095517D"/>
    <w:rPr>
      <w:rFonts w:cs="Dutch801 Rm BT"/>
      <w:color w:val="000000"/>
      <w:sz w:val="11"/>
      <w:szCs w:val="11"/>
    </w:rPr>
  </w:style>
  <w:style w:type="paragraph" w:customStyle="1" w:styleId="CM739">
    <w:name w:val="CM739"/>
    <w:basedOn w:val="Default"/>
    <w:next w:val="Default"/>
    <w:uiPriority w:val="99"/>
    <w:rsid w:val="0095517D"/>
    <w:rPr>
      <w:rFonts w:ascii="Courier Std" w:eastAsia="Calibri" w:hAnsi="Courier Std"/>
      <w:color w:val="auto"/>
      <w:lang w:val="en-US" w:eastAsia="en-US"/>
    </w:rPr>
  </w:style>
  <w:style w:type="character" w:styleId="Strong">
    <w:name w:val="Strong"/>
    <w:uiPriority w:val="22"/>
    <w:qFormat/>
    <w:rsid w:val="0095517D"/>
    <w:rPr>
      <w:b/>
      <w:bCs/>
    </w:rPr>
  </w:style>
  <w:style w:type="paragraph" w:customStyle="1" w:styleId="CM110">
    <w:name w:val="CM110"/>
    <w:basedOn w:val="Default"/>
    <w:next w:val="Default"/>
    <w:uiPriority w:val="99"/>
    <w:rsid w:val="0095517D"/>
    <w:pPr>
      <w:spacing w:line="223" w:lineRule="atLeast"/>
    </w:pPr>
    <w:rPr>
      <w:rFonts w:ascii="Courier Std" w:eastAsia="Calibri" w:hAnsi="Courier Std"/>
      <w:color w:val="auto"/>
      <w:lang w:val="en-US" w:eastAsia="en-US"/>
    </w:rPr>
  </w:style>
  <w:style w:type="character" w:customStyle="1" w:styleId="personname">
    <w:name w:val="person_name"/>
    <w:basedOn w:val="DefaultParagraphFont"/>
    <w:rsid w:val="0095517D"/>
  </w:style>
  <w:style w:type="character" w:customStyle="1" w:styleId="absatz">
    <w:name w:val="absatz"/>
    <w:basedOn w:val="DefaultParagraphFont"/>
    <w:rsid w:val="0095517D"/>
  </w:style>
  <w:style w:type="character" w:customStyle="1" w:styleId="apple-converted-space">
    <w:name w:val="apple-converted-space"/>
    <w:basedOn w:val="DefaultParagraphFont"/>
    <w:rsid w:val="0095517D"/>
  </w:style>
  <w:style w:type="paragraph" w:customStyle="1" w:styleId="CM733">
    <w:name w:val="CM733"/>
    <w:basedOn w:val="Default"/>
    <w:next w:val="Default"/>
    <w:uiPriority w:val="99"/>
    <w:rsid w:val="0095517D"/>
    <w:rPr>
      <w:rFonts w:ascii="Courier Std" w:eastAsia="Calibri" w:hAnsi="Courier Std"/>
      <w:color w:val="auto"/>
      <w:lang w:val="en-US" w:eastAsia="en-US"/>
    </w:rPr>
  </w:style>
  <w:style w:type="paragraph" w:customStyle="1" w:styleId="CM6">
    <w:name w:val="CM6"/>
    <w:basedOn w:val="Default"/>
    <w:next w:val="Default"/>
    <w:uiPriority w:val="99"/>
    <w:rsid w:val="0095517D"/>
    <w:pPr>
      <w:spacing w:line="360" w:lineRule="atLeast"/>
    </w:pPr>
    <w:rPr>
      <w:rFonts w:ascii="Arial" w:eastAsia="Calibri" w:hAnsi="Arial" w:cs="Arial"/>
      <w:color w:val="auto"/>
      <w:lang w:val="en-US" w:eastAsia="en-US"/>
    </w:rPr>
  </w:style>
  <w:style w:type="paragraph" w:customStyle="1" w:styleId="CommentSubject1">
    <w:name w:val="Comment Subject1"/>
    <w:basedOn w:val="CommentText"/>
    <w:next w:val="CommentText"/>
    <w:uiPriority w:val="99"/>
    <w:semiHidden/>
    <w:unhideWhenUsed/>
    <w:rsid w:val="0095517D"/>
    <w:pPr>
      <w:jc w:val="left"/>
    </w:pPr>
    <w:rPr>
      <w:rFonts w:ascii="Times New Roman" w:eastAsia="Calibri" w:hAnsi="Times New Roman"/>
      <w:b/>
      <w:bCs/>
      <w:sz w:val="22"/>
      <w:szCs w:val="22"/>
      <w:lang w:val="x-none" w:eastAsia="x-none" w:bidi="ar-SA"/>
    </w:rPr>
  </w:style>
  <w:style w:type="character" w:customStyle="1" w:styleId="CommentSubjectChar1">
    <w:name w:val="Comment Subject Char1"/>
    <w:basedOn w:val="CommentTextChar"/>
    <w:uiPriority w:val="99"/>
    <w:semiHidden/>
    <w:rsid w:val="0095517D"/>
    <w:rPr>
      <w:rFonts w:ascii="Calibri" w:eastAsia="Times New Roman" w:hAnsi="Calibri" w:cs="Times New Roman"/>
      <w:b/>
      <w:bCs/>
      <w:sz w:val="20"/>
      <w:szCs w:val="20"/>
      <w:lang w:val="it-IT" w:eastAsia="it-IT"/>
    </w:rPr>
  </w:style>
  <w:style w:type="character" w:customStyle="1" w:styleId="DocumentMapChar">
    <w:name w:val="Document Map Char"/>
    <w:basedOn w:val="DefaultParagraphFont"/>
    <w:link w:val="DocumentMap"/>
    <w:uiPriority w:val="99"/>
    <w:semiHidden/>
    <w:rsid w:val="0095517D"/>
    <w:rPr>
      <w:rFonts w:ascii="Tahoma" w:eastAsia="Times New Roman" w:hAnsi="Tahoma"/>
      <w:sz w:val="16"/>
      <w:szCs w:val="16"/>
      <w:lang w:val="x-none" w:eastAsia="x-none"/>
    </w:rPr>
  </w:style>
  <w:style w:type="paragraph" w:styleId="DocumentMap">
    <w:name w:val="Document Map"/>
    <w:basedOn w:val="Normal"/>
    <w:link w:val="DocumentMapChar"/>
    <w:uiPriority w:val="99"/>
    <w:semiHidden/>
    <w:unhideWhenUsed/>
    <w:rsid w:val="0095517D"/>
    <w:pPr>
      <w:jc w:val="left"/>
    </w:pPr>
    <w:rPr>
      <w:rFonts w:ascii="Tahoma" w:eastAsia="Times New Roman" w:hAnsi="Tahoma"/>
      <w:sz w:val="16"/>
      <w:szCs w:val="16"/>
      <w:lang w:val="x-none" w:eastAsia="x-none"/>
    </w:rPr>
  </w:style>
  <w:style w:type="character" w:customStyle="1" w:styleId="DocumentMapChar1">
    <w:name w:val="Document Map Char1"/>
    <w:basedOn w:val="DefaultParagraphFont"/>
    <w:uiPriority w:val="99"/>
    <w:semiHidden/>
    <w:rsid w:val="0095517D"/>
    <w:rPr>
      <w:rFonts w:ascii="Tahoma" w:hAnsi="Tahoma" w:cs="Tahoma"/>
      <w:sz w:val="16"/>
      <w:szCs w:val="16"/>
      <w:lang w:val="it-IT" w:eastAsia="it-IT"/>
    </w:rPr>
  </w:style>
  <w:style w:type="paragraph" w:styleId="TableofFigures">
    <w:name w:val="table of figures"/>
    <w:basedOn w:val="Normal"/>
    <w:next w:val="Normal"/>
    <w:uiPriority w:val="99"/>
    <w:unhideWhenUsed/>
    <w:rsid w:val="0095517D"/>
    <w:pPr>
      <w:ind w:left="480" w:hanging="480"/>
      <w:jc w:val="left"/>
    </w:pPr>
    <w:rPr>
      <w:rFonts w:ascii="Calibri" w:eastAsia="Times New Roman" w:hAnsi="Calibri" w:cs="Calibri"/>
      <w:b/>
      <w:bCs/>
      <w:lang w:val="en-US" w:eastAsia="en-US"/>
    </w:rPr>
  </w:style>
  <w:style w:type="character" w:customStyle="1" w:styleId="nlmarticle-title">
    <w:name w:val="nlm_article-title"/>
    <w:basedOn w:val="DefaultParagraphFont"/>
    <w:rsid w:val="0095517D"/>
  </w:style>
  <w:style w:type="character" w:customStyle="1" w:styleId="nlmyear">
    <w:name w:val="nlm_year"/>
    <w:basedOn w:val="DefaultParagraphFont"/>
    <w:rsid w:val="0095517D"/>
  </w:style>
  <w:style w:type="character" w:customStyle="1" w:styleId="nlmedition">
    <w:name w:val="nlm_edition"/>
    <w:basedOn w:val="DefaultParagraphFont"/>
    <w:rsid w:val="0095517D"/>
  </w:style>
  <w:style w:type="character" w:customStyle="1" w:styleId="nlmpublisher-loc">
    <w:name w:val="nlm_publisher-loc"/>
    <w:basedOn w:val="DefaultParagraphFont"/>
    <w:rsid w:val="0095517D"/>
  </w:style>
  <w:style w:type="character" w:customStyle="1" w:styleId="nlmpublisher-name">
    <w:name w:val="nlm_publisher-name"/>
    <w:basedOn w:val="DefaultParagraphFont"/>
    <w:rsid w:val="0095517D"/>
  </w:style>
  <w:style w:type="character" w:customStyle="1" w:styleId="nlmfpage">
    <w:name w:val="nlm_fpage"/>
    <w:basedOn w:val="DefaultParagraphFont"/>
    <w:rsid w:val="0095517D"/>
  </w:style>
  <w:style w:type="character" w:customStyle="1" w:styleId="nlmlpage">
    <w:name w:val="nlm_lpage"/>
    <w:basedOn w:val="DefaultParagraphFont"/>
    <w:rsid w:val="0095517D"/>
  </w:style>
  <w:style w:type="paragraph" w:customStyle="1" w:styleId="CM736">
    <w:name w:val="CM736"/>
    <w:basedOn w:val="Default"/>
    <w:next w:val="Default"/>
    <w:uiPriority w:val="99"/>
    <w:rsid w:val="0095517D"/>
    <w:rPr>
      <w:rFonts w:ascii="Courier Std" w:eastAsia="Calibri" w:hAnsi="Courier Std"/>
      <w:color w:val="auto"/>
      <w:lang w:val="en-US" w:eastAsia="en-US"/>
    </w:rPr>
  </w:style>
  <w:style w:type="character" w:customStyle="1" w:styleId="nodisplay">
    <w:name w:val="nodisplay"/>
    <w:basedOn w:val="DefaultParagraphFont"/>
    <w:rsid w:val="0095517D"/>
  </w:style>
  <w:style w:type="paragraph" w:styleId="Title">
    <w:name w:val="Title"/>
    <w:basedOn w:val="Normal"/>
    <w:next w:val="Normal"/>
    <w:link w:val="TitleChar"/>
    <w:uiPriority w:val="10"/>
    <w:qFormat/>
    <w:rsid w:val="0095517D"/>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basedOn w:val="DefaultParagraphFont"/>
    <w:link w:val="Title"/>
    <w:uiPriority w:val="10"/>
    <w:rsid w:val="0095517D"/>
    <w:rPr>
      <w:rFonts w:ascii="Cambria" w:eastAsia="Times New Roman" w:hAnsi="Cambria"/>
      <w:b/>
      <w:bCs/>
      <w:kern w:val="28"/>
      <w:sz w:val="32"/>
      <w:szCs w:val="32"/>
      <w:lang w:val="x-none" w:eastAsia="x-none"/>
    </w:rPr>
  </w:style>
  <w:style w:type="paragraph" w:customStyle="1" w:styleId="TOC41">
    <w:name w:val="TOC 41"/>
    <w:basedOn w:val="Normal"/>
    <w:next w:val="Normal"/>
    <w:autoRedefine/>
    <w:uiPriority w:val="39"/>
    <w:unhideWhenUsed/>
    <w:rsid w:val="0095517D"/>
    <w:pPr>
      <w:spacing w:line="259" w:lineRule="auto"/>
      <w:ind w:left="660"/>
      <w:jc w:val="left"/>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95517D"/>
    <w:pPr>
      <w:spacing w:line="259" w:lineRule="auto"/>
      <w:ind w:left="880"/>
      <w:jc w:val="left"/>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95517D"/>
    <w:pPr>
      <w:spacing w:line="259" w:lineRule="auto"/>
      <w:ind w:left="1100"/>
      <w:jc w:val="left"/>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95517D"/>
    <w:pPr>
      <w:spacing w:line="259" w:lineRule="auto"/>
      <w:ind w:left="1320"/>
      <w:jc w:val="left"/>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95517D"/>
    <w:pPr>
      <w:spacing w:line="259" w:lineRule="auto"/>
      <w:ind w:left="1540"/>
      <w:jc w:val="left"/>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95517D"/>
    <w:pPr>
      <w:spacing w:line="259" w:lineRule="auto"/>
      <w:ind w:left="1760"/>
      <w:jc w:val="left"/>
    </w:pPr>
    <w:rPr>
      <w:rFonts w:ascii="Calibri" w:eastAsia="Calibri" w:hAnsi="Calibri" w:cs="Calibri"/>
      <w:sz w:val="18"/>
      <w:szCs w:val="18"/>
      <w:lang w:val="en-US" w:eastAsia="en-US"/>
    </w:rPr>
  </w:style>
  <w:style w:type="character" w:customStyle="1" w:styleId="FootnoteTextChar">
    <w:name w:val="Footnote Text Char"/>
    <w:basedOn w:val="DefaultParagraphFont"/>
    <w:link w:val="FootnoteText"/>
    <w:uiPriority w:val="99"/>
    <w:semiHidden/>
    <w:rsid w:val="0095517D"/>
    <w:rPr>
      <w:rFonts w:ascii="Times New Roman" w:eastAsia="Times New Roman" w:hAnsi="Times New Roman"/>
      <w:lang w:val="x-none" w:eastAsia="x-none"/>
    </w:rPr>
  </w:style>
  <w:style w:type="paragraph" w:styleId="FootnoteText">
    <w:name w:val="footnote text"/>
    <w:basedOn w:val="Normal"/>
    <w:link w:val="FootnoteTextChar"/>
    <w:uiPriority w:val="99"/>
    <w:semiHidden/>
    <w:unhideWhenUsed/>
    <w:rsid w:val="0095517D"/>
    <w:pPr>
      <w:jc w:val="left"/>
    </w:pPr>
    <w:rPr>
      <w:rFonts w:ascii="Times New Roman" w:eastAsia="Times New Roman" w:hAnsi="Times New Roman"/>
      <w:lang w:val="x-none" w:eastAsia="x-none"/>
    </w:rPr>
  </w:style>
  <w:style w:type="character" w:customStyle="1" w:styleId="FootnoteTextChar1">
    <w:name w:val="Footnote Text Char1"/>
    <w:basedOn w:val="DefaultParagraphFont"/>
    <w:uiPriority w:val="99"/>
    <w:semiHidden/>
    <w:rsid w:val="0095517D"/>
    <w:rPr>
      <w:rFonts w:ascii="Times" w:hAnsi="Times"/>
      <w:lang w:val="it-IT" w:eastAsia="it-IT"/>
    </w:rPr>
  </w:style>
  <w:style w:type="paragraph" w:customStyle="1" w:styleId="origin-nid">
    <w:name w:val="origin-nid"/>
    <w:basedOn w:val="Normal"/>
    <w:rsid w:val="0095517D"/>
    <w:pPr>
      <w:spacing w:after="150"/>
      <w:jc w:val="left"/>
    </w:pPr>
    <w:rPr>
      <w:rFonts w:ascii="Times New Roman" w:eastAsia="Times New Roman" w:hAnsi="Times New Roman"/>
      <w:sz w:val="24"/>
      <w:szCs w:val="24"/>
      <w:lang w:val="en-US" w:eastAsia="en-US"/>
    </w:rPr>
  </w:style>
  <w:style w:type="paragraph" w:styleId="BodyText">
    <w:name w:val="Body Text"/>
    <w:basedOn w:val="Normal"/>
    <w:link w:val="BodyTextChar"/>
    <w:uiPriority w:val="99"/>
    <w:qFormat/>
    <w:rsid w:val="0095517D"/>
    <w:pPr>
      <w:overflowPunct w:val="0"/>
      <w:autoSpaceDE w:val="0"/>
      <w:autoSpaceDN w:val="0"/>
      <w:adjustRightInd w:val="0"/>
      <w:spacing w:line="360" w:lineRule="auto"/>
      <w:textAlignment w:val="baseline"/>
    </w:pPr>
    <w:rPr>
      <w:rFonts w:ascii="Times New Roman" w:eastAsia="Times New Roman" w:hAnsi="Times New Roman"/>
      <w:kern w:val="16"/>
      <w:sz w:val="24"/>
      <w:lang w:val="x-none" w:eastAsia="x-none"/>
    </w:rPr>
  </w:style>
  <w:style w:type="character" w:customStyle="1" w:styleId="BodyTextChar">
    <w:name w:val="Body Text Char"/>
    <w:basedOn w:val="DefaultParagraphFont"/>
    <w:link w:val="BodyText"/>
    <w:uiPriority w:val="99"/>
    <w:rsid w:val="0095517D"/>
    <w:rPr>
      <w:rFonts w:ascii="Times New Roman" w:eastAsia="Times New Roman" w:hAnsi="Times New Roman"/>
      <w:kern w:val="16"/>
      <w:sz w:val="24"/>
      <w:lang w:val="x-none" w:eastAsia="x-none"/>
    </w:rPr>
  </w:style>
  <w:style w:type="character" w:customStyle="1" w:styleId="EndnoteTextChar">
    <w:name w:val="Endnote Text Char"/>
    <w:link w:val="EndnoteText"/>
    <w:uiPriority w:val="99"/>
    <w:semiHidden/>
    <w:rsid w:val="0095517D"/>
    <w:rPr>
      <w:rFonts w:ascii="Times New Roman" w:hAnsi="Times New Roman" w:cs="Arial"/>
    </w:rPr>
  </w:style>
  <w:style w:type="paragraph" w:customStyle="1" w:styleId="EndnoteText1">
    <w:name w:val="Endnote Text1"/>
    <w:basedOn w:val="Normal"/>
    <w:next w:val="EndnoteText"/>
    <w:uiPriority w:val="99"/>
    <w:semiHidden/>
    <w:unhideWhenUsed/>
    <w:rsid w:val="0095517D"/>
    <w:pPr>
      <w:jc w:val="left"/>
    </w:pPr>
    <w:rPr>
      <w:rFonts w:ascii="Times New Roman" w:eastAsia="Calibri" w:hAnsi="Times New Roman" w:cs="Arial"/>
      <w:sz w:val="22"/>
      <w:szCs w:val="22"/>
      <w:lang w:val="en-US" w:eastAsia="en-US"/>
    </w:rPr>
  </w:style>
  <w:style w:type="character" w:customStyle="1" w:styleId="EndnoteTextChar1">
    <w:name w:val="Endnote Text Char1"/>
    <w:basedOn w:val="DefaultParagraphFont"/>
    <w:uiPriority w:val="99"/>
    <w:semiHidden/>
    <w:rsid w:val="0095517D"/>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95517D"/>
    <w:pPr>
      <w:jc w:val="center"/>
    </w:pPr>
    <w:rPr>
      <w:rFonts w:ascii="Times New Roman" w:eastAsia="Times New Roman" w:hAnsi="Times New Roman"/>
      <w:sz w:val="24"/>
      <w:szCs w:val="24"/>
      <w:lang w:val="x-none" w:eastAsia="x-none"/>
    </w:rPr>
  </w:style>
  <w:style w:type="character" w:customStyle="1" w:styleId="BodyText2Char">
    <w:name w:val="Body Text 2 Char"/>
    <w:basedOn w:val="DefaultParagraphFont"/>
    <w:link w:val="BodyText2"/>
    <w:uiPriority w:val="99"/>
    <w:rsid w:val="0095517D"/>
    <w:rPr>
      <w:rFonts w:ascii="Times New Roman" w:eastAsia="Times New Roman" w:hAnsi="Times New Roman"/>
      <w:sz w:val="24"/>
      <w:szCs w:val="24"/>
      <w:lang w:val="x-none" w:eastAsia="x-none"/>
    </w:rPr>
  </w:style>
  <w:style w:type="paragraph" w:styleId="BodyText3">
    <w:name w:val="Body Text 3"/>
    <w:basedOn w:val="Normal"/>
    <w:link w:val="BodyText3Char"/>
    <w:uiPriority w:val="99"/>
    <w:unhideWhenUsed/>
    <w:rsid w:val="0095517D"/>
    <w:pPr>
      <w:tabs>
        <w:tab w:val="left" w:pos="90"/>
        <w:tab w:val="left" w:pos="270"/>
        <w:tab w:val="left" w:pos="8640"/>
      </w:tabs>
      <w:spacing w:line="276" w:lineRule="auto"/>
      <w:jc w:val="left"/>
    </w:pPr>
    <w:rPr>
      <w:rFonts w:ascii="Times New Roman" w:eastAsia="Times New Roman" w:hAnsi="Times New Roman"/>
      <w:lang w:val="x-none" w:eastAsia="x-none"/>
    </w:rPr>
  </w:style>
  <w:style w:type="character" w:customStyle="1" w:styleId="BodyText3Char">
    <w:name w:val="Body Text 3 Char"/>
    <w:basedOn w:val="DefaultParagraphFont"/>
    <w:link w:val="BodyText3"/>
    <w:uiPriority w:val="99"/>
    <w:rsid w:val="0095517D"/>
    <w:rPr>
      <w:rFonts w:ascii="Times New Roman" w:eastAsia="Times New Roman" w:hAnsi="Times New Roman"/>
      <w:lang w:val="x-none" w:eastAsia="x-none"/>
    </w:rPr>
  </w:style>
  <w:style w:type="paragraph" w:styleId="IntenseQuote">
    <w:name w:val="Intense Quote"/>
    <w:basedOn w:val="Normal"/>
    <w:next w:val="Normal"/>
    <w:link w:val="IntenseQuoteChar"/>
    <w:uiPriority w:val="30"/>
    <w:qFormat/>
    <w:rsid w:val="0095517D"/>
    <w:pPr>
      <w:pBdr>
        <w:bottom w:val="single" w:sz="4" w:space="4" w:color="4F81BD"/>
      </w:pBdr>
      <w:spacing w:before="200" w:after="280" w:line="276" w:lineRule="auto"/>
      <w:ind w:left="936" w:right="936"/>
      <w:jc w:val="left"/>
    </w:pPr>
    <w:rPr>
      <w:rFonts w:ascii="Calibri" w:eastAsia="Times New Roman" w:hAnsi="Calibri"/>
      <w:b/>
      <w:bCs/>
      <w:i/>
      <w:iCs/>
      <w:color w:val="4F81BD"/>
      <w:sz w:val="22"/>
      <w:szCs w:val="22"/>
      <w:lang w:val="x-none" w:eastAsia="x-none"/>
    </w:rPr>
  </w:style>
  <w:style w:type="character" w:customStyle="1" w:styleId="IntenseQuoteChar">
    <w:name w:val="Intense Quote Char"/>
    <w:basedOn w:val="DefaultParagraphFont"/>
    <w:link w:val="IntenseQuote"/>
    <w:uiPriority w:val="30"/>
    <w:rsid w:val="0095517D"/>
    <w:rPr>
      <w:rFonts w:ascii="Calibri" w:eastAsia="Times New Roman" w:hAnsi="Calibri"/>
      <w:b/>
      <w:bCs/>
      <w:i/>
      <w:iCs/>
      <w:color w:val="4F81BD"/>
      <w:sz w:val="22"/>
      <w:szCs w:val="22"/>
      <w:lang w:val="x-none" w:eastAsia="x-none"/>
    </w:rPr>
  </w:style>
  <w:style w:type="character" w:customStyle="1" w:styleId="red-underline">
    <w:name w:val="red-underline"/>
    <w:basedOn w:val="DefaultParagraphFont"/>
    <w:rsid w:val="0095517D"/>
  </w:style>
  <w:style w:type="paragraph" w:customStyle="1" w:styleId="root-block-node">
    <w:name w:val="root-block-node"/>
    <w:basedOn w:val="Normal"/>
    <w:rsid w:val="0095517D"/>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blue-underline">
    <w:name w:val="blue-underline"/>
    <w:basedOn w:val="DefaultParagraphFont"/>
    <w:rsid w:val="0095517D"/>
  </w:style>
  <w:style w:type="table" w:customStyle="1" w:styleId="TableGrid1">
    <w:name w:val="Table Grid1"/>
    <w:basedOn w:val="TableNormal"/>
    <w:next w:val="TableGrid"/>
    <w:uiPriority w:val="59"/>
    <w:rsid w:val="0095517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5517D"/>
  </w:style>
  <w:style w:type="paragraph" w:styleId="HTMLPreformatted">
    <w:name w:val="HTML Preformatted"/>
    <w:basedOn w:val="Normal"/>
    <w:link w:val="HTMLPreformattedChar"/>
    <w:uiPriority w:val="99"/>
    <w:unhideWhenUsed/>
    <w:rsid w:val="00955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95517D"/>
    <w:rPr>
      <w:rFonts w:ascii="Courier New" w:eastAsia="Times New Roman" w:hAnsi="Courier New" w:cs="Courier New"/>
      <w:lang w:eastAsia="en-US"/>
    </w:rPr>
  </w:style>
  <w:style w:type="character" w:customStyle="1" w:styleId="y2iqfc">
    <w:name w:val="y2iqfc"/>
    <w:basedOn w:val="DefaultParagraphFont"/>
    <w:rsid w:val="0095517D"/>
  </w:style>
  <w:style w:type="table" w:customStyle="1" w:styleId="GridTable1Light-Accent51">
    <w:name w:val="Grid Table 1 Light - Accent 51"/>
    <w:basedOn w:val="TableNormal"/>
    <w:uiPriority w:val="46"/>
    <w:rsid w:val="0095517D"/>
    <w:rPr>
      <w:rFonts w:asciiTheme="minorHAnsi" w:eastAsiaTheme="minorHAnsi" w:hAnsiTheme="minorHAnsi" w:cstheme="minorBid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10">
    <w:name w:val="Unresolved Mention1"/>
    <w:basedOn w:val="DefaultParagraphFont"/>
    <w:uiPriority w:val="99"/>
    <w:semiHidden/>
    <w:unhideWhenUsed/>
    <w:rsid w:val="0095517D"/>
    <w:rPr>
      <w:color w:val="605E5C"/>
      <w:shd w:val="clear" w:color="auto" w:fill="E1DFDD"/>
    </w:rPr>
  </w:style>
  <w:style w:type="character" w:customStyle="1" w:styleId="NormalWebChar">
    <w:name w:val="Normal (Web) Char"/>
    <w:aliases w:val="Normal (Web) Char Char Char Char Char Char"/>
    <w:link w:val="NormalWeb"/>
    <w:uiPriority w:val="99"/>
    <w:rsid w:val="0095517D"/>
    <w:rPr>
      <w:rFonts w:ascii="Times New Roman" w:eastAsia="Times New Roman" w:hAnsi="Times New Roman"/>
      <w:sz w:val="24"/>
      <w:szCs w:val="24"/>
      <w:lang w:eastAsia="en-US"/>
    </w:rPr>
  </w:style>
  <w:style w:type="character" w:customStyle="1" w:styleId="mw-headline">
    <w:name w:val="mw-headline"/>
    <w:basedOn w:val="DefaultParagraphFont"/>
    <w:rsid w:val="0095517D"/>
  </w:style>
  <w:style w:type="table" w:customStyle="1" w:styleId="Style3">
    <w:name w:val="Style3"/>
    <w:basedOn w:val="TableSimple1"/>
    <w:uiPriority w:val="99"/>
    <w:qFormat/>
    <w:rsid w:val="0095517D"/>
    <w:pPr>
      <w:numPr>
        <w:ilvl w:val="0"/>
        <w:numId w:val="0"/>
      </w:numPr>
      <w:spacing w:line="240" w:lineRule="auto"/>
      <w:jc w:val="left"/>
    </w:pPr>
    <w:rPr>
      <w:rFonts w:ascii="Calibri" w:eastAsia="Calibri" w:hAnsi="Calibri" w:cs="Arial"/>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character" w:styleId="PlaceholderText">
    <w:name w:val="Placeholder Text"/>
    <w:uiPriority w:val="99"/>
    <w:semiHidden/>
    <w:rsid w:val="0095517D"/>
    <w:rPr>
      <w:color w:val="808080"/>
    </w:rPr>
  </w:style>
  <w:style w:type="character" w:customStyle="1" w:styleId="plainlinks">
    <w:name w:val="plainlinks"/>
    <w:basedOn w:val="DefaultParagraphFont"/>
    <w:rsid w:val="0095517D"/>
  </w:style>
  <w:style w:type="character" w:customStyle="1" w:styleId="geo-dms">
    <w:name w:val="geo-dms"/>
    <w:basedOn w:val="DefaultParagraphFont"/>
    <w:rsid w:val="0095517D"/>
  </w:style>
  <w:style w:type="character" w:customStyle="1" w:styleId="latitude">
    <w:name w:val="latitude"/>
    <w:basedOn w:val="DefaultParagraphFont"/>
    <w:rsid w:val="0095517D"/>
  </w:style>
  <w:style w:type="character" w:customStyle="1" w:styleId="longitude">
    <w:name w:val="longitude"/>
    <w:basedOn w:val="DefaultParagraphFont"/>
    <w:rsid w:val="0095517D"/>
  </w:style>
  <w:style w:type="character" w:customStyle="1" w:styleId="fontstyle01">
    <w:name w:val="fontstyle01"/>
    <w:rsid w:val="0095517D"/>
    <w:rPr>
      <w:rFonts w:ascii="Times New Roman" w:hAnsi="Times New Roman" w:cs="Times New Roman" w:hint="default"/>
      <w:b/>
      <w:bCs/>
      <w:i w:val="0"/>
      <w:iCs w:val="0"/>
      <w:color w:val="000000"/>
      <w:sz w:val="16"/>
      <w:szCs w:val="16"/>
    </w:rPr>
  </w:style>
  <w:style w:type="character" w:customStyle="1" w:styleId="fontstyle11">
    <w:name w:val="fontstyle11"/>
    <w:rsid w:val="0095517D"/>
    <w:rPr>
      <w:rFonts w:ascii="Cambria-Italic" w:hAnsi="Cambria-Italic" w:hint="default"/>
      <w:b w:val="0"/>
      <w:bCs w:val="0"/>
      <w:i/>
      <w:iCs/>
      <w:color w:val="000000"/>
      <w:sz w:val="42"/>
      <w:szCs w:val="42"/>
    </w:rPr>
  </w:style>
  <w:style w:type="paragraph" w:customStyle="1" w:styleId="clear">
    <w:name w:val="clear"/>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character" w:customStyle="1" w:styleId="FollowedHyperlink1">
    <w:name w:val="FollowedHyperlink1"/>
    <w:basedOn w:val="DefaultParagraphFont"/>
    <w:uiPriority w:val="99"/>
    <w:semiHidden/>
    <w:unhideWhenUsed/>
    <w:rsid w:val="0095517D"/>
    <w:rPr>
      <w:color w:val="800080"/>
      <w:u w:val="single"/>
    </w:rPr>
  </w:style>
  <w:style w:type="paragraph" w:customStyle="1" w:styleId="TOCHeading1">
    <w:name w:val="TOC Heading1"/>
    <w:basedOn w:val="Heading1"/>
    <w:next w:val="Normal"/>
    <w:uiPriority w:val="39"/>
    <w:unhideWhenUsed/>
    <w:qFormat/>
    <w:rsid w:val="0095517D"/>
    <w:pPr>
      <w:keepLines/>
      <w:spacing w:before="120" w:after="120"/>
      <w:ind w:left="432" w:hanging="432"/>
      <w:outlineLvl w:val="9"/>
    </w:pPr>
    <w:rPr>
      <w:rFonts w:ascii="Calibri" w:eastAsia="Times New Roman" w:hAnsi="Calibri"/>
      <w:bCs/>
      <w:caps w:val="0"/>
      <w:color w:val="000000"/>
      <w:sz w:val="24"/>
      <w:szCs w:val="28"/>
      <w:lang w:val="en-US" w:eastAsia="en-US" w:bidi="ar-SA"/>
    </w:rPr>
  </w:style>
  <w:style w:type="numbering" w:customStyle="1" w:styleId="NoList11">
    <w:name w:val="No List11"/>
    <w:next w:val="NoList"/>
    <w:uiPriority w:val="99"/>
    <w:semiHidden/>
    <w:unhideWhenUsed/>
    <w:rsid w:val="0095517D"/>
  </w:style>
  <w:style w:type="character" w:customStyle="1" w:styleId="BodyTextChar1">
    <w:name w:val="Body Text Char1"/>
    <w:basedOn w:val="DefaultParagraphFont"/>
    <w:uiPriority w:val="99"/>
    <w:semiHidden/>
    <w:rsid w:val="0095517D"/>
  </w:style>
  <w:style w:type="character" w:customStyle="1" w:styleId="fontstyle21">
    <w:name w:val="fontstyle21"/>
    <w:rsid w:val="0095517D"/>
    <w:rPr>
      <w:rFonts w:ascii="TimesNewRoman" w:hAnsi="TimesNewRoman" w:hint="default"/>
      <w:b w:val="0"/>
      <w:bCs w:val="0"/>
      <w:i/>
      <w:iCs/>
      <w:color w:val="000000"/>
      <w:sz w:val="24"/>
      <w:szCs w:val="24"/>
    </w:rPr>
  </w:style>
  <w:style w:type="character" w:styleId="LineNumber">
    <w:name w:val="line number"/>
    <w:basedOn w:val="DefaultParagraphFont"/>
    <w:uiPriority w:val="99"/>
    <w:semiHidden/>
    <w:unhideWhenUsed/>
    <w:rsid w:val="0095517D"/>
  </w:style>
  <w:style w:type="character" w:customStyle="1" w:styleId="text0">
    <w:name w:val="text"/>
    <w:basedOn w:val="DefaultParagraphFont"/>
    <w:rsid w:val="0095517D"/>
  </w:style>
  <w:style w:type="paragraph" w:customStyle="1" w:styleId="citation">
    <w:name w:val="citation"/>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paragraph" w:customStyle="1" w:styleId="Revision1">
    <w:name w:val="Revision1"/>
    <w:next w:val="Revision"/>
    <w:hidden/>
    <w:uiPriority w:val="99"/>
    <w:semiHidden/>
    <w:rsid w:val="0095517D"/>
    <w:rPr>
      <w:rFonts w:asciiTheme="minorHAnsi" w:eastAsia="Times New Roman"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95517D"/>
    <w:rPr>
      <w:color w:val="605E5C"/>
      <w:shd w:val="clear" w:color="auto" w:fill="E1DFDD"/>
    </w:rPr>
  </w:style>
  <w:style w:type="table" w:customStyle="1" w:styleId="Style41122">
    <w:name w:val="Style41122"/>
    <w:basedOn w:val="TableSimple1"/>
    <w:uiPriority w:val="99"/>
    <w:rsid w:val="0095517D"/>
    <w:pPr>
      <w:numPr>
        <w:ilvl w:val="0"/>
        <w:numId w:val="0"/>
      </w:numPr>
      <w:spacing w:before="120" w:line="240" w:lineRule="auto"/>
    </w:pPr>
    <w:rPr>
      <w:rFonts w:ascii="Calibri" w:eastAsia="Calibri" w:hAnsi="Calibri"/>
      <w:sz w:val="22"/>
      <w:szCs w:val="22"/>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Style1">
    <w:name w:val="Style1"/>
    <w:basedOn w:val="TableNormal"/>
    <w:uiPriority w:val="99"/>
    <w:qFormat/>
    <w:rsid w:val="0095517D"/>
    <w:rPr>
      <w:rFonts w:asciiTheme="minorHAnsi" w:eastAsiaTheme="minorHAnsi" w:hAnsiTheme="minorHAnsi" w:cstheme="minorBidi"/>
      <w:sz w:val="22"/>
      <w:szCs w:val="22"/>
      <w:lang w:eastAsia="en-US"/>
    </w:rPr>
    <w:tblPr/>
  </w:style>
  <w:style w:type="character" w:customStyle="1" w:styleId="CommentSubjectChar2">
    <w:name w:val="Comment Subject Char2"/>
    <w:basedOn w:val="CommentTextChar"/>
    <w:uiPriority w:val="99"/>
    <w:semiHidden/>
    <w:rsid w:val="0095517D"/>
    <w:rPr>
      <w:rFonts w:ascii="Calibri" w:eastAsia="Times New Roman" w:hAnsi="Calibri" w:cs="Times New Roman"/>
      <w:b/>
      <w:bCs/>
      <w:sz w:val="20"/>
      <w:szCs w:val="20"/>
      <w:lang w:val="it-IT" w:eastAsia="it-IT"/>
    </w:rPr>
  </w:style>
  <w:style w:type="paragraph" w:styleId="EndnoteText">
    <w:name w:val="endnote text"/>
    <w:basedOn w:val="Normal"/>
    <w:link w:val="EndnoteTextChar"/>
    <w:uiPriority w:val="99"/>
    <w:semiHidden/>
    <w:unhideWhenUsed/>
    <w:rsid w:val="0095517D"/>
    <w:pPr>
      <w:jc w:val="left"/>
    </w:pPr>
    <w:rPr>
      <w:rFonts w:ascii="Times New Roman" w:hAnsi="Times New Roman" w:cs="Arial"/>
      <w:lang w:val="en-US" w:eastAsia="zh-CN"/>
    </w:rPr>
  </w:style>
  <w:style w:type="character" w:customStyle="1" w:styleId="EndnoteTextChar2">
    <w:name w:val="Endnote Text Char2"/>
    <w:basedOn w:val="DefaultParagraphFont"/>
    <w:uiPriority w:val="99"/>
    <w:semiHidden/>
    <w:rsid w:val="0095517D"/>
    <w:rPr>
      <w:rFonts w:ascii="Times" w:hAnsi="Times"/>
      <w:lang w:val="it-IT" w:eastAsia="it-IT"/>
    </w:rPr>
  </w:style>
  <w:style w:type="paragraph" w:styleId="Revision">
    <w:name w:val="Revision"/>
    <w:hidden/>
    <w:uiPriority w:val="99"/>
    <w:semiHidden/>
    <w:rsid w:val="0095517D"/>
    <w:rPr>
      <w:rFonts w:ascii="Calibri" w:eastAsia="Calibri" w:hAnsi="Calibri"/>
      <w:sz w:val="22"/>
      <w:szCs w:val="22"/>
      <w:lang w:eastAsia="en-US"/>
    </w:rPr>
  </w:style>
  <w:style w:type="table" w:styleId="TableWeb2">
    <w:name w:val="Table Web 2"/>
    <w:basedOn w:val="TableNormal"/>
    <w:unhideWhenUsed/>
    <w:rsid w:val="004A1142"/>
    <w:rPr>
      <w:rFonts w:ascii="Times New Roman" w:eastAsia="PMingLiU"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A1142"/>
    <w:rPr>
      <w:rFonts w:ascii="Times New Roman" w:eastAsia="PMingLiU"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3">
    <w:name w:val="Table List 3"/>
    <w:basedOn w:val="TableNormal"/>
    <w:rsid w:val="004A1142"/>
    <w:rPr>
      <w:rFonts w:ascii="Times New Roman" w:eastAsia="PMingLiU"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A11">
    <w:name w:val="A11"/>
    <w:uiPriority w:val="99"/>
    <w:rsid w:val="004A1142"/>
    <w:rPr>
      <w:rFonts w:cs="Minion Pro"/>
      <w:color w:val="000000"/>
      <w:sz w:val="22"/>
      <w:szCs w:val="22"/>
    </w:rPr>
  </w:style>
  <w:style w:type="character" w:styleId="FootnoteReference">
    <w:name w:val="footnote reference"/>
    <w:basedOn w:val="DefaultParagraphFont"/>
    <w:uiPriority w:val="99"/>
    <w:semiHidden/>
    <w:unhideWhenUsed/>
    <w:rsid w:val="004A1142"/>
    <w:rPr>
      <w:vertAlign w:val="superscript"/>
    </w:rPr>
  </w:style>
  <w:style w:type="table" w:customStyle="1" w:styleId="ListTable6Colorful1">
    <w:name w:val="List Table 6 Colorful1"/>
    <w:basedOn w:val="TableNormal"/>
    <w:uiPriority w:val="51"/>
    <w:rsid w:val="004A1142"/>
    <w:rPr>
      <w:rFonts w:asciiTheme="minorHAnsi" w:eastAsiaTheme="minorEastAsia" w:hAnsiTheme="minorHAnsi" w:cstheme="minorBidi"/>
      <w:color w:val="000000" w:themeColor="text1"/>
      <w:sz w:val="22"/>
      <w:szCs w:val="22"/>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9">
    <w:name w:val="Pa9"/>
    <w:basedOn w:val="Normal"/>
    <w:next w:val="Normal"/>
    <w:uiPriority w:val="99"/>
    <w:rsid w:val="00C240E9"/>
    <w:pPr>
      <w:autoSpaceDE w:val="0"/>
      <w:autoSpaceDN w:val="0"/>
      <w:adjustRightInd w:val="0"/>
      <w:spacing w:line="241" w:lineRule="atLeast"/>
      <w:jc w:val="left"/>
    </w:pPr>
    <w:rPr>
      <w:rFonts w:ascii="Times New Roman" w:eastAsia="Calibri" w:hAnsi="Times New Roman"/>
      <w:sz w:val="24"/>
      <w:szCs w:val="24"/>
      <w:lang w:val="en-US" w:eastAsia="en-US"/>
    </w:rPr>
  </w:style>
  <w:style w:type="character" w:customStyle="1" w:styleId="A2">
    <w:name w:val="A2"/>
    <w:uiPriority w:val="99"/>
    <w:rsid w:val="00C240E9"/>
    <w:rPr>
      <w:color w:val="000000"/>
      <w:sz w:val="20"/>
      <w:szCs w:val="20"/>
    </w:rPr>
  </w:style>
  <w:style w:type="paragraph" w:customStyle="1" w:styleId="Pa14">
    <w:name w:val="Pa14"/>
    <w:basedOn w:val="Normal"/>
    <w:next w:val="Normal"/>
    <w:uiPriority w:val="99"/>
    <w:rsid w:val="00C240E9"/>
    <w:pPr>
      <w:autoSpaceDE w:val="0"/>
      <w:autoSpaceDN w:val="0"/>
      <w:adjustRightInd w:val="0"/>
      <w:spacing w:line="221" w:lineRule="atLeast"/>
      <w:jc w:val="left"/>
    </w:pPr>
    <w:rPr>
      <w:rFonts w:ascii="Times New Roman" w:eastAsia="Calibri" w:hAnsi="Times New Roman"/>
      <w:sz w:val="24"/>
      <w:szCs w:val="24"/>
      <w:lang w:val="en-US" w:eastAsia="en-US"/>
    </w:rPr>
  </w:style>
  <w:style w:type="character" w:customStyle="1" w:styleId="fontstyle31">
    <w:name w:val="fontstyle31"/>
    <w:rsid w:val="00C240E9"/>
    <w:rPr>
      <w:rFonts w:ascii="Times New Roman" w:hAnsi="Times New Roman" w:cs="Times New Roman" w:hint="default"/>
      <w:b w:val="0"/>
      <w:bCs w:val="0"/>
      <w:i/>
      <w:iCs/>
      <w:color w:val="000000"/>
      <w:sz w:val="22"/>
      <w:szCs w:val="22"/>
    </w:rPr>
  </w:style>
  <w:style w:type="paragraph" w:styleId="BodyTextIndent">
    <w:name w:val="Body Text Indent"/>
    <w:basedOn w:val="Normal"/>
    <w:link w:val="BodyTextIndentChar"/>
    <w:uiPriority w:val="99"/>
    <w:unhideWhenUsed/>
    <w:rsid w:val="00C240E9"/>
    <w:pPr>
      <w:spacing w:after="120" w:line="276" w:lineRule="auto"/>
      <w:ind w:left="360"/>
      <w:jc w:val="left"/>
    </w:pPr>
    <w:rPr>
      <w:rFonts w:ascii="Calibri" w:eastAsia="Times New Roman" w:hAnsi="Calibri"/>
      <w:lang w:val="x-none" w:eastAsia="x-none"/>
    </w:rPr>
  </w:style>
  <w:style w:type="character" w:customStyle="1" w:styleId="BodyTextIndentChar">
    <w:name w:val="Body Text Indent Char"/>
    <w:basedOn w:val="DefaultParagraphFont"/>
    <w:link w:val="BodyTextIndent"/>
    <w:uiPriority w:val="99"/>
    <w:rsid w:val="00C240E9"/>
    <w:rPr>
      <w:rFonts w:ascii="Calibri" w:eastAsia="Times New Roman" w:hAnsi="Calibri"/>
      <w:lang w:val="x-none" w:eastAsia="x-none"/>
    </w:rPr>
  </w:style>
  <w:style w:type="paragraph" w:customStyle="1" w:styleId="tabtit">
    <w:name w:val="tabti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uebersetzt">
    <w:name w:val="uebersetz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standard">
    <w:name w:val="standard"/>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A1">
    <w:name w:val="A1"/>
    <w:uiPriority w:val="99"/>
    <w:rsid w:val="00C240E9"/>
    <w:rPr>
      <w:rFonts w:cs="Minion Pro"/>
      <w:color w:val="000000"/>
      <w:sz w:val="18"/>
      <w:szCs w:val="18"/>
    </w:rPr>
  </w:style>
  <w:style w:type="character" w:customStyle="1" w:styleId="spelle">
    <w:name w:val="spelle"/>
    <w:basedOn w:val="DefaultParagraphFont"/>
    <w:rsid w:val="00C240E9"/>
  </w:style>
  <w:style w:type="character" w:customStyle="1" w:styleId="ref-journal">
    <w:name w:val="ref-journal"/>
    <w:basedOn w:val="DefaultParagraphFont"/>
    <w:rsid w:val="00C240E9"/>
  </w:style>
  <w:style w:type="character" w:customStyle="1" w:styleId="A9">
    <w:name w:val="A9"/>
    <w:uiPriority w:val="99"/>
    <w:rsid w:val="00C240E9"/>
    <w:rPr>
      <w:color w:val="000000"/>
      <w:sz w:val="10"/>
      <w:szCs w:val="10"/>
    </w:rPr>
  </w:style>
  <w:style w:type="table" w:customStyle="1" w:styleId="TableGrid11">
    <w:name w:val="Table Grid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6">
    <w:name w:val="Pa6"/>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table" w:customStyle="1" w:styleId="TableGrid3">
    <w:name w:val="Table Grid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A7"/>
    <w:uiPriority w:val="99"/>
    <w:rsid w:val="00C240E9"/>
    <w:rPr>
      <w:rFonts w:cs="Myriad Pro"/>
      <w:b/>
      <w:bCs/>
      <w:color w:val="000000"/>
      <w:sz w:val="17"/>
      <w:szCs w:val="17"/>
    </w:rPr>
  </w:style>
  <w:style w:type="table" w:customStyle="1" w:styleId="TableGrid4">
    <w:name w:val="Table Grid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7">
    <w:name w:val="Pa7"/>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character" w:customStyle="1" w:styleId="A14">
    <w:name w:val="A14"/>
    <w:uiPriority w:val="99"/>
    <w:rsid w:val="00C240E9"/>
    <w:rPr>
      <w:rFonts w:cs="Myriad Pro"/>
      <w:color w:val="000000"/>
      <w:sz w:val="9"/>
      <w:szCs w:val="9"/>
    </w:rPr>
  </w:style>
  <w:style w:type="table" w:customStyle="1" w:styleId="TableGrid5">
    <w:name w:val="Table Grid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C240E9"/>
  </w:style>
  <w:style w:type="table" w:customStyle="1" w:styleId="TableGrid31">
    <w:name w:val="Table Grid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
    <w:name w:val="Table Grid4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
    <w:name w:val="Table Grid48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2">
    <w:name w:val="Table Grid43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2">
    <w:name w:val="Table Grid44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2">
    <w:name w:val="Table Grid45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2">
    <w:name w:val="Table Grid46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2">
    <w:name w:val="Table Grid48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3">
    <w:name w:val="Table Grid4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3">
    <w:name w:val="Table Grid4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3">
    <w:name w:val="Table Grid45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3">
    <w:name w:val="Table Grid46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3">
    <w:name w:val="Table Grid48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popup-sensitive-area">
    <w:name w:val="figpopup-sensitive-area"/>
    <w:basedOn w:val="DefaultParagraphFont"/>
    <w:rsid w:val="00C240E9"/>
  </w:style>
  <w:style w:type="character" w:customStyle="1" w:styleId="A4">
    <w:name w:val="A4"/>
    <w:uiPriority w:val="99"/>
    <w:rsid w:val="00C240E9"/>
    <w:rPr>
      <w:rFonts w:ascii="HJLDSJ+MinionPro-Regular" w:hAnsi="HJLDSJ+MinionPro-Regular" w:cs="HJLDSJ+MinionPro-Regular"/>
      <w:color w:val="000000"/>
      <w:sz w:val="15"/>
      <w:szCs w:val="15"/>
    </w:rPr>
  </w:style>
  <w:style w:type="character" w:customStyle="1" w:styleId="keyword">
    <w:name w:val="keyword"/>
    <w:basedOn w:val="DefaultParagraphFont"/>
    <w:rsid w:val="00C240E9"/>
  </w:style>
  <w:style w:type="character" w:customStyle="1" w:styleId="auto-style8">
    <w:name w:val="auto-style8"/>
    <w:basedOn w:val="DefaultParagraphFont"/>
    <w:rsid w:val="00C240E9"/>
  </w:style>
  <w:style w:type="table" w:customStyle="1" w:styleId="TableGrid8">
    <w:name w:val="Table Grid8"/>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A6"/>
    <w:uiPriority w:val="99"/>
    <w:rsid w:val="00C240E9"/>
    <w:rPr>
      <w:rFonts w:cs="Calibri"/>
      <w:color w:val="221E1F"/>
      <w:sz w:val="20"/>
      <w:szCs w:val="20"/>
    </w:rPr>
  </w:style>
  <w:style w:type="character" w:customStyle="1" w:styleId="sc-1m5qiw5-0">
    <w:name w:val="sc-1m5qiw5-0"/>
    <w:basedOn w:val="DefaultParagraphFont"/>
    <w:rsid w:val="00C240E9"/>
  </w:style>
  <w:style w:type="character" w:customStyle="1" w:styleId="fontstyle41">
    <w:name w:val="fontstyle41"/>
    <w:rsid w:val="00C240E9"/>
    <w:rPr>
      <w:rFonts w:ascii="ArialMT" w:hAnsi="ArialMT" w:hint="default"/>
      <w:b w:val="0"/>
      <w:bCs w:val="0"/>
      <w:i w:val="0"/>
      <w:iCs w:val="0"/>
      <w:color w:val="000000"/>
      <w:sz w:val="16"/>
      <w:szCs w:val="16"/>
    </w:rPr>
  </w:style>
  <w:style w:type="table" w:customStyle="1" w:styleId="TableGrid10">
    <w:name w:val="Table Grid10"/>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verweis">
    <w:name w:val="litverweis"/>
    <w:basedOn w:val="DefaultParagraphFont"/>
    <w:rsid w:val="00C240E9"/>
  </w:style>
  <w:style w:type="character" w:customStyle="1" w:styleId="name">
    <w:name w:val="name"/>
    <w:basedOn w:val="DefaultParagraphFont"/>
    <w:rsid w:val="00C240E9"/>
  </w:style>
  <w:style w:type="character" w:customStyle="1" w:styleId="jahr">
    <w:name w:val="jahr"/>
    <w:basedOn w:val="DefaultParagraphFont"/>
    <w:rsid w:val="00C240E9"/>
  </w:style>
  <w:style w:type="paragraph" w:customStyle="1" w:styleId="Heading81">
    <w:name w:val="Heading 81"/>
    <w:basedOn w:val="Normal"/>
    <w:next w:val="Normal"/>
    <w:uiPriority w:val="9"/>
    <w:semiHidden/>
    <w:unhideWhenUsed/>
    <w:qFormat/>
    <w:rsid w:val="00C240E9"/>
    <w:pPr>
      <w:spacing w:before="240" w:after="60"/>
      <w:ind w:left="5760" w:hanging="360"/>
      <w:jc w:val="left"/>
      <w:outlineLvl w:val="7"/>
    </w:pPr>
    <w:rPr>
      <w:rFonts w:ascii="Calibri" w:eastAsia="Times New Roman" w:hAnsi="Calibri"/>
      <w:i/>
      <w:iCs/>
      <w:sz w:val="24"/>
      <w:szCs w:val="24"/>
      <w:lang w:val="en-US" w:eastAsia="en-US"/>
    </w:rPr>
  </w:style>
  <w:style w:type="paragraph" w:customStyle="1" w:styleId="Heading91">
    <w:name w:val="Heading 91"/>
    <w:basedOn w:val="Normal"/>
    <w:next w:val="Normal"/>
    <w:uiPriority w:val="9"/>
    <w:semiHidden/>
    <w:unhideWhenUsed/>
    <w:qFormat/>
    <w:rsid w:val="00C240E9"/>
    <w:pPr>
      <w:spacing w:before="240" w:after="60"/>
      <w:ind w:left="6480" w:hanging="360"/>
      <w:jc w:val="left"/>
      <w:outlineLvl w:val="8"/>
    </w:pPr>
    <w:rPr>
      <w:rFonts w:ascii="Cambria" w:eastAsia="Times New Roman" w:hAnsi="Cambria"/>
      <w:sz w:val="22"/>
      <w:szCs w:val="22"/>
      <w:lang w:val="en-US" w:eastAsia="en-US"/>
    </w:rPr>
  </w:style>
  <w:style w:type="character" w:customStyle="1" w:styleId="Heading8Char1">
    <w:name w:val="Heading 8 Char1"/>
    <w:uiPriority w:val="9"/>
    <w:semiHidden/>
    <w:rsid w:val="00C240E9"/>
    <w:rPr>
      <w:rFonts w:ascii="Calibri" w:eastAsia="Times New Roman" w:hAnsi="Calibri" w:cs="Times New Roman"/>
      <w:i/>
      <w:iCs/>
      <w:sz w:val="24"/>
      <w:szCs w:val="24"/>
    </w:rPr>
  </w:style>
  <w:style w:type="character" w:customStyle="1" w:styleId="Heading9Char1">
    <w:name w:val="Heading 9 Char1"/>
    <w:uiPriority w:val="9"/>
    <w:semiHidden/>
    <w:rsid w:val="00C240E9"/>
    <w:rPr>
      <w:rFonts w:ascii="Calibri Light" w:eastAsia="Times New Roman" w:hAnsi="Calibri Light" w:cs="Times New Roman"/>
      <w:sz w:val="22"/>
      <w:szCs w:val="22"/>
    </w:rPr>
  </w:style>
  <w:style w:type="table" w:customStyle="1" w:styleId="TableGrid15">
    <w:name w:val="Table Grid1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Reference">
    <w:name w:val="Subtle Reference"/>
    <w:uiPriority w:val="31"/>
    <w:qFormat/>
    <w:rsid w:val="00C240E9"/>
    <w:rPr>
      <w:smallCaps/>
      <w:color w:val="5A5A5A"/>
    </w:rPr>
  </w:style>
  <w:style w:type="paragraph" w:customStyle="1" w:styleId="msonormal0">
    <w:name w:val="msonormal"/>
    <w:basedOn w:val="Normal"/>
    <w:uiPriority w:val="99"/>
    <w:rsid w:val="00C240E9"/>
    <w:pPr>
      <w:spacing w:before="100" w:beforeAutospacing="1" w:after="100" w:afterAutospacing="1"/>
      <w:jc w:val="left"/>
    </w:pPr>
    <w:rPr>
      <w:rFonts w:ascii="Times New Roman" w:eastAsia="Times New Roman" w:hAnsi="Times New Roman"/>
      <w:sz w:val="24"/>
      <w:szCs w:val="24"/>
      <w:lang w:val="x-none" w:eastAsia="x-none"/>
    </w:rPr>
  </w:style>
  <w:style w:type="table" w:customStyle="1" w:styleId="TableGridLight10">
    <w:name w:val="Table Grid Light1"/>
    <w:basedOn w:val="TableNormal"/>
    <w:uiPriority w:val="40"/>
    <w:rsid w:val="00C240E9"/>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EndnoteReference">
    <w:name w:val="endnote reference"/>
    <w:basedOn w:val="DefaultParagraphFont"/>
    <w:uiPriority w:val="99"/>
    <w:semiHidden/>
    <w:unhideWhenUsed/>
    <w:rsid w:val="00C240E9"/>
    <w:rPr>
      <w:vertAlign w:val="superscript"/>
    </w:rPr>
  </w:style>
  <w:style w:type="character" w:customStyle="1" w:styleId="gnkrckgcgsb">
    <w:name w:val="gnkrckgcgsb"/>
    <w:basedOn w:val="DefaultParagraphFont"/>
    <w:rsid w:val="00C240E9"/>
  </w:style>
  <w:style w:type="table" w:styleId="LightShading">
    <w:name w:val="Light Shading"/>
    <w:basedOn w:val="TableNormal"/>
    <w:uiPriority w:val="60"/>
    <w:unhideWhenUsed/>
    <w:rsid w:val="00C240E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g">
    <w:name w:val="Fg"/>
    <w:basedOn w:val="Normal"/>
    <w:qFormat/>
    <w:rsid w:val="00365202"/>
    <w:pPr>
      <w:spacing w:after="200" w:line="360" w:lineRule="auto"/>
      <w:jc w:val="center"/>
    </w:pPr>
    <w:rPr>
      <w:rFonts w:ascii="Times New Roman" w:eastAsiaTheme="minorHAnsi" w:hAnsi="Times New Roman"/>
      <w:sz w:val="24"/>
      <w:szCs w:val="24"/>
      <w:lang w:val="en-US" w:eastAsia="en-US"/>
    </w:rPr>
  </w:style>
  <w:style w:type="paragraph" w:customStyle="1" w:styleId="Tab">
    <w:name w:val="Tab"/>
    <w:basedOn w:val="Normal"/>
    <w:qFormat/>
    <w:rsid w:val="00365202"/>
    <w:pPr>
      <w:spacing w:line="360" w:lineRule="auto"/>
    </w:pPr>
    <w:rPr>
      <w:rFonts w:ascii="Times New Roman" w:eastAsia="Yu Gothic Light"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4465">
      <w:bodyDiv w:val="1"/>
      <w:marLeft w:val="0"/>
      <w:marRight w:val="0"/>
      <w:marTop w:val="0"/>
      <w:marBottom w:val="0"/>
      <w:divBdr>
        <w:top w:val="none" w:sz="0" w:space="0" w:color="auto"/>
        <w:left w:val="none" w:sz="0" w:space="0" w:color="auto"/>
        <w:bottom w:val="none" w:sz="0" w:space="0" w:color="auto"/>
        <w:right w:val="none" w:sz="0" w:space="0" w:color="auto"/>
      </w:divBdr>
    </w:div>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
    <w:div w:id="1480999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betfek@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B4448-FCCC-4FCC-80BA-0FC80AFD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10</Pages>
  <Words>15877</Words>
  <Characters>86690</Characters>
  <Application>Microsoft Office Word</Application>
  <DocSecurity>0</DocSecurity>
  <PresentationFormat/>
  <Lines>3769</Lines>
  <Paragraphs>995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IIETA</Company>
  <LinksUpToDate>false</LinksUpToDate>
  <CharactersWithSpaces>101572</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Hailu Addis</cp:lastModifiedBy>
  <cp:revision>269</cp:revision>
  <cp:lastPrinted>2025-02-06T06:43:00Z</cp:lastPrinted>
  <dcterms:created xsi:type="dcterms:W3CDTF">2024-08-31T07:48:00Z</dcterms:created>
  <dcterms:modified xsi:type="dcterms:W3CDTF">2025-02-17T10:26:00Z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GrammarlyDocumentId">
    <vt:lpwstr>0b31df263a22af9f8d5c50f47f9dab126602083898a4b4a23e499ee0b3e921fa</vt:lpwstr>
  </property>
</Properties>
</file>