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C10D88"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C10D88" w:rsidRDefault="00006DAD" w:rsidP="002A4615">
            <w:pPr>
              <w:jc w:val="left"/>
              <w:rPr>
                <w:rFonts w:ascii="Times New Roman" w:hAnsi="Times New Roman"/>
                <w:b/>
                <w:i/>
                <w:sz w:val="22"/>
                <w:szCs w:val="22"/>
                <w:lang w:eastAsia="zh-CN"/>
              </w:rPr>
            </w:pPr>
            <w:r w:rsidRPr="00C10D88">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C10D88">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C10D88" w:rsidRDefault="00006DAD" w:rsidP="002A4615">
            <w:pPr>
              <w:jc w:val="right"/>
              <w:rPr>
                <w:rFonts w:ascii="Times New Roman" w:hAnsi="Times New Roman"/>
                <w:b/>
                <w:i/>
                <w:sz w:val="22"/>
                <w:szCs w:val="22"/>
                <w:lang w:eastAsia="zh-CN"/>
              </w:rPr>
            </w:pPr>
            <w:r w:rsidRPr="00C10D88">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2334ABC4" w:rsidR="00CE1E1D" w:rsidRPr="008E418E" w:rsidRDefault="00F91B92"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CE1E1D">
                                    <w:rPr>
                                      <w:rStyle w:val="Emphasis"/>
                                      <w:rFonts w:ascii="Times New Roman" w:hAnsi="Times New Roman"/>
                                      <w:i w:val="0"/>
                                      <w:iCs w:val="0"/>
                                      <w:color w:val="000000"/>
                                      <w:sz w:val="24"/>
                                      <w:szCs w:val="24"/>
                                      <w:lang w:val="en-US" w:eastAsia="en-US" w:bidi="fa-IR"/>
                                    </w:rPr>
                                    <w:t xml:space="preserve">,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2021</w:t>
                                  </w:r>
                                  <w:r w:rsidR="00E07F40">
                                    <w:rPr>
                                      <w:rStyle w:val="Emphasis"/>
                                      <w:rFonts w:ascii="Times New Roman" w:hAnsi="Times New Roman"/>
                                      <w:i w:val="0"/>
                                      <w:iCs w:val="0"/>
                                      <w:color w:val="000000"/>
                                      <w:sz w:val="24"/>
                                      <w:szCs w:val="24"/>
                                      <w:lang w:val="en-US" w:eastAsia="en-US" w:bidi="fa-IR"/>
                                    </w:rPr>
                                    <w:t xml:space="preserve">, pp. </w:t>
                                  </w:r>
                                  <w:r w:rsidR="00CE1E1D">
                                    <w:rPr>
                                      <w:rStyle w:val="Emphasis"/>
                                      <w:rFonts w:ascii="Times New Roman" w:hAnsi="Times New Roman"/>
                                      <w:i w:val="0"/>
                                      <w:iCs w:val="0"/>
                                      <w:color w:val="000000"/>
                                      <w:sz w:val="24"/>
                                      <w:szCs w:val="24"/>
                                      <w:lang w:val="en-US" w:eastAsia="en-US" w:bidi="fa-IR"/>
                                    </w:rPr>
                                    <w:t>13</w:t>
                                  </w:r>
                                  <w:r w:rsidR="00E95A4D">
                                    <w:rPr>
                                      <w:rStyle w:val="Emphasis"/>
                                      <w:rFonts w:ascii="Times New Roman" w:hAnsi="Times New Roman"/>
                                      <w:i w:val="0"/>
                                      <w:iCs w:val="0"/>
                                      <w:color w:val="000000"/>
                                      <w:sz w:val="24"/>
                                      <w:szCs w:val="24"/>
                                      <w:lang w:val="en-US" w:eastAsia="en-US" w:bidi="fa-IR"/>
                                    </w:rPr>
                                    <w:t>8</w:t>
                                  </w:r>
                                  <w:r w:rsidR="0009211E">
                                    <w:rPr>
                                      <w:rStyle w:val="Emphasis"/>
                                      <w:rFonts w:ascii="Times New Roman" w:hAnsi="Times New Roman"/>
                                      <w:i w:val="0"/>
                                      <w:iCs w:val="0"/>
                                      <w:color w:val="000000"/>
                                      <w:sz w:val="24"/>
                                      <w:szCs w:val="24"/>
                                      <w:lang w:val="en-US" w:eastAsia="en-US" w:bidi="fa-IR"/>
                                    </w:rPr>
                                    <w:t>-149</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2334ABC4" w:rsidR="00CE1E1D" w:rsidRPr="008E418E" w:rsidRDefault="00F91B92"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CE1E1D">
                              <w:rPr>
                                <w:rStyle w:val="Emphasis"/>
                                <w:rFonts w:ascii="Times New Roman" w:hAnsi="Times New Roman"/>
                                <w:i w:val="0"/>
                                <w:iCs w:val="0"/>
                                <w:color w:val="000000"/>
                                <w:sz w:val="24"/>
                                <w:szCs w:val="24"/>
                                <w:lang w:val="en-US" w:eastAsia="en-US" w:bidi="fa-IR"/>
                              </w:rPr>
                              <w:t xml:space="preserve">,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2021</w:t>
                            </w:r>
                            <w:r w:rsidR="00E07F40">
                              <w:rPr>
                                <w:rStyle w:val="Emphasis"/>
                                <w:rFonts w:ascii="Times New Roman" w:hAnsi="Times New Roman"/>
                                <w:i w:val="0"/>
                                <w:iCs w:val="0"/>
                                <w:color w:val="000000"/>
                                <w:sz w:val="24"/>
                                <w:szCs w:val="24"/>
                                <w:lang w:val="en-US" w:eastAsia="en-US" w:bidi="fa-IR"/>
                              </w:rPr>
                              <w:t xml:space="preserve">, pp. </w:t>
                            </w:r>
                            <w:r w:rsidR="00CE1E1D">
                              <w:rPr>
                                <w:rStyle w:val="Emphasis"/>
                                <w:rFonts w:ascii="Times New Roman" w:hAnsi="Times New Roman"/>
                                <w:i w:val="0"/>
                                <w:iCs w:val="0"/>
                                <w:color w:val="000000"/>
                                <w:sz w:val="24"/>
                                <w:szCs w:val="24"/>
                                <w:lang w:val="en-US" w:eastAsia="en-US" w:bidi="fa-IR"/>
                              </w:rPr>
                              <w:t>13</w:t>
                            </w:r>
                            <w:r w:rsidR="00E95A4D">
                              <w:rPr>
                                <w:rStyle w:val="Emphasis"/>
                                <w:rFonts w:ascii="Times New Roman" w:hAnsi="Times New Roman"/>
                                <w:i w:val="0"/>
                                <w:iCs w:val="0"/>
                                <w:color w:val="000000"/>
                                <w:sz w:val="24"/>
                                <w:szCs w:val="24"/>
                                <w:lang w:val="en-US" w:eastAsia="en-US" w:bidi="fa-IR"/>
                              </w:rPr>
                              <w:t>8</w:t>
                            </w:r>
                            <w:r w:rsidR="0009211E">
                              <w:rPr>
                                <w:rStyle w:val="Emphasis"/>
                                <w:rFonts w:ascii="Times New Roman" w:hAnsi="Times New Roman"/>
                                <w:i w:val="0"/>
                                <w:iCs w:val="0"/>
                                <w:color w:val="000000"/>
                                <w:sz w:val="24"/>
                                <w:szCs w:val="24"/>
                                <w:lang w:val="en-US" w:eastAsia="en-US" w:bidi="fa-IR"/>
                              </w:rPr>
                              <w:t>-149</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C10D88" w:rsidRDefault="00006DAD" w:rsidP="00006DAD">
      <w:pPr>
        <w:tabs>
          <w:tab w:val="left" w:pos="9500"/>
        </w:tabs>
        <w:jc w:val="left"/>
        <w:rPr>
          <w:rFonts w:ascii="Times New Roman" w:hAnsi="Times New Roman"/>
          <w:b/>
          <w:i/>
          <w:sz w:val="22"/>
          <w:szCs w:val="22"/>
          <w:lang w:eastAsia="zh-CN"/>
        </w:rPr>
      </w:pPr>
      <w:r w:rsidRPr="00C10D88">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C10D88" w14:paraId="0172C78E" w14:textId="77777777" w:rsidTr="002A4615">
        <w:trPr>
          <w:trHeight w:val="253"/>
        </w:trPr>
        <w:tc>
          <w:tcPr>
            <w:tcW w:w="9713" w:type="dxa"/>
            <w:gridSpan w:val="3"/>
            <w:tcBorders>
              <w:bottom w:val="nil"/>
              <w:right w:val="nil"/>
            </w:tcBorders>
          </w:tcPr>
          <w:p w14:paraId="7681358D" w14:textId="450C0CC0" w:rsidR="00006DAD" w:rsidRPr="00FB53E1" w:rsidRDefault="00FB53E1" w:rsidP="00FB53E1">
            <w:pPr>
              <w:keepNext/>
              <w:jc w:val="center"/>
              <w:outlineLvl w:val="0"/>
              <w:rPr>
                <w:rFonts w:eastAsia="Times New Roman" w:cs="Calibri"/>
                <w:b/>
                <w:bCs/>
                <w:kern w:val="32"/>
                <w:sz w:val="24"/>
                <w:szCs w:val="24"/>
                <w:lang w:val="en-US" w:eastAsia="x-none"/>
              </w:rPr>
            </w:pPr>
            <w:bookmarkStart w:id="0" w:name="_Toc108699033"/>
            <w:bookmarkStart w:id="1" w:name="_Hlk67295519"/>
            <w:r w:rsidRPr="00033BEA">
              <w:rPr>
                <w:rFonts w:eastAsia="Times New Roman" w:cs="Calibri"/>
                <w:b/>
                <w:bCs/>
                <w:kern w:val="32"/>
                <w:sz w:val="24"/>
                <w:szCs w:val="24"/>
                <w:lang w:val="x-none" w:eastAsia="x-none"/>
              </w:rPr>
              <w:t>Rearing of some plankton species in laboratory conditions for fish larvae as lived feed</w:t>
            </w:r>
            <w:bookmarkEnd w:id="0"/>
            <w:bookmarkEnd w:id="1"/>
          </w:p>
        </w:tc>
        <w:tc>
          <w:tcPr>
            <w:tcW w:w="727" w:type="dxa"/>
            <w:tcBorders>
              <w:left w:val="nil"/>
              <w:bottom w:val="nil"/>
            </w:tcBorders>
          </w:tcPr>
          <w:p w14:paraId="55F05ED4" w14:textId="77777777" w:rsidR="00006DAD" w:rsidRPr="00C10D88" w:rsidRDefault="00006DAD" w:rsidP="00F82AEC">
            <w:pPr>
              <w:jc w:val="left"/>
              <w:rPr>
                <w:rFonts w:ascii="Times New Roman" w:hAnsi="Times New Roman"/>
                <w:b/>
                <w:sz w:val="22"/>
                <w:szCs w:val="22"/>
                <w:lang w:val="en-US" w:eastAsia="zh-CN"/>
              </w:rPr>
            </w:pPr>
          </w:p>
        </w:tc>
      </w:tr>
      <w:tr w:rsidR="00B451BB" w:rsidRPr="00C10D88" w14:paraId="0CDE813C" w14:textId="77777777" w:rsidTr="002A4615">
        <w:trPr>
          <w:trHeight w:val="661"/>
        </w:trPr>
        <w:tc>
          <w:tcPr>
            <w:tcW w:w="10440" w:type="dxa"/>
            <w:gridSpan w:val="4"/>
            <w:tcBorders>
              <w:top w:val="nil"/>
              <w:bottom w:val="single" w:sz="4" w:space="0" w:color="auto"/>
            </w:tcBorders>
          </w:tcPr>
          <w:p w14:paraId="5D41C2C4" w14:textId="1A445E40" w:rsidR="00FB53E1" w:rsidRPr="00033BEA" w:rsidRDefault="00141E3D" w:rsidP="001239B4">
            <w:pPr>
              <w:widowControl w:val="0"/>
              <w:autoSpaceDE w:val="0"/>
              <w:autoSpaceDN w:val="0"/>
              <w:spacing w:before="240"/>
              <w:jc w:val="center"/>
              <w:rPr>
                <w:rFonts w:eastAsia="Times New Roman" w:cs="Calibri"/>
                <w:sz w:val="24"/>
                <w:szCs w:val="24"/>
              </w:rPr>
            </w:pPr>
            <w:r>
              <w:rPr>
                <w:rFonts w:eastAsia="Times New Roman" w:cs="Calibri"/>
                <w:sz w:val="24"/>
                <w:szCs w:val="24"/>
              </w:rPr>
              <w:t>Ad</w:t>
            </w:r>
            <w:r w:rsidR="00FB53E1" w:rsidRPr="00033BEA">
              <w:rPr>
                <w:rFonts w:eastAsia="Times New Roman" w:cs="Calibri"/>
                <w:sz w:val="24"/>
                <w:szCs w:val="24"/>
              </w:rPr>
              <w:t>ane Melaku</w:t>
            </w:r>
            <w:r w:rsidR="00FB53E1" w:rsidRPr="00033BEA">
              <w:rPr>
                <w:rFonts w:eastAsia="Times New Roman" w:cs="Calibri"/>
                <w:sz w:val="24"/>
                <w:szCs w:val="24"/>
                <w:vertAlign w:val="superscript"/>
              </w:rPr>
              <w:t>1*</w:t>
            </w:r>
            <w:r w:rsidR="00FB53E1" w:rsidRPr="00033BEA">
              <w:rPr>
                <w:rFonts w:eastAsia="Times New Roman" w:cs="Calibri"/>
                <w:sz w:val="24"/>
                <w:szCs w:val="24"/>
              </w:rPr>
              <w:t>, Abrham Amare</w:t>
            </w:r>
            <w:r w:rsidR="00FB53E1" w:rsidRPr="00033BEA">
              <w:rPr>
                <w:rFonts w:eastAsia="Times New Roman" w:cs="Calibri"/>
                <w:sz w:val="24"/>
                <w:szCs w:val="24"/>
                <w:vertAlign w:val="superscript"/>
              </w:rPr>
              <w:t>1</w:t>
            </w:r>
            <w:r w:rsidR="00FB53E1" w:rsidRPr="00033BEA">
              <w:rPr>
                <w:rFonts w:eastAsia="Times New Roman" w:cs="Calibri"/>
                <w:sz w:val="24"/>
                <w:szCs w:val="24"/>
              </w:rPr>
              <w:t>,</w:t>
            </w:r>
            <w:r w:rsidR="00FB53E1" w:rsidRPr="00033BEA">
              <w:rPr>
                <w:rFonts w:eastAsia="Times New Roman" w:cs="Calibri"/>
                <w:bCs/>
                <w:sz w:val="24"/>
                <w:szCs w:val="24"/>
              </w:rPr>
              <w:t xml:space="preserve"> Tizazu Yitayew</w:t>
            </w:r>
            <w:r w:rsidR="00FB53E1" w:rsidRPr="00033BEA">
              <w:rPr>
                <w:rFonts w:eastAsia="Times New Roman" w:cs="Calibri"/>
                <w:bCs/>
                <w:sz w:val="24"/>
                <w:szCs w:val="24"/>
                <w:vertAlign w:val="superscript"/>
              </w:rPr>
              <w:t>1</w:t>
            </w:r>
          </w:p>
          <w:p w14:paraId="3ED9CFF7" w14:textId="77777777" w:rsidR="00FB53E1" w:rsidRPr="00033BEA" w:rsidRDefault="00FB53E1" w:rsidP="001239B4">
            <w:pPr>
              <w:widowControl w:val="0"/>
              <w:autoSpaceDE w:val="0"/>
              <w:autoSpaceDN w:val="0"/>
              <w:jc w:val="center"/>
              <w:rPr>
                <w:rFonts w:eastAsia="Times New Roman" w:cs="Calibri"/>
                <w:bCs/>
                <w:sz w:val="24"/>
                <w:szCs w:val="24"/>
                <w:lang w:val="en-GB"/>
              </w:rPr>
            </w:pPr>
            <w:r w:rsidRPr="00033BEA">
              <w:rPr>
                <w:rFonts w:eastAsia="Times New Roman" w:cs="Calibri"/>
                <w:iCs/>
                <w:sz w:val="24"/>
                <w:szCs w:val="24"/>
                <w:vertAlign w:val="superscript"/>
              </w:rPr>
              <w:t>1*</w:t>
            </w:r>
            <w:r w:rsidRPr="00033BEA">
              <w:rPr>
                <w:rFonts w:eastAsia="Times New Roman" w:cs="Calibri"/>
                <w:iCs/>
                <w:sz w:val="24"/>
                <w:szCs w:val="24"/>
              </w:rPr>
              <w:t>Bahir Dar Fishery and Other Aquatic Life Research Center, P.O. Box 794, Bahir Dar, Ethiopia *Corresponding author email</w:t>
            </w:r>
            <w:r w:rsidRPr="00033BEA">
              <w:rPr>
                <w:rFonts w:eastAsia="Times New Roman" w:cs="Calibri"/>
                <w:bCs/>
                <w:sz w:val="24"/>
                <w:szCs w:val="24"/>
                <w:lang w:val="en-GB"/>
              </w:rPr>
              <w:t xml:space="preserve">: </w:t>
            </w:r>
            <w:hyperlink r:id="rId9" w:history="1">
              <w:r w:rsidRPr="00033BEA">
                <w:rPr>
                  <w:rFonts w:cs="Calibri"/>
                  <w:bCs/>
                  <w:sz w:val="24"/>
                  <w:szCs w:val="24"/>
                  <w:lang w:val="en-GB"/>
                </w:rPr>
                <w:t>adane.melaku@yahoo.com</w:t>
              </w:r>
            </w:hyperlink>
          </w:p>
          <w:p w14:paraId="33F659C4" w14:textId="47E3E72F" w:rsidR="00B451BB" w:rsidRPr="00C10D88" w:rsidRDefault="00B451BB" w:rsidP="001239B4">
            <w:pPr>
              <w:contextualSpacing/>
              <w:jc w:val="center"/>
              <w:rPr>
                <w:rFonts w:ascii="Times New Roman" w:hAnsi="Times New Roman"/>
                <w:sz w:val="22"/>
                <w:szCs w:val="22"/>
                <w:vertAlign w:val="superscript"/>
                <w:lang w:val="en-US" w:eastAsia="zh-CN"/>
              </w:rPr>
            </w:pPr>
          </w:p>
        </w:tc>
      </w:tr>
      <w:tr w:rsidR="00006DAD" w:rsidRPr="00C10D88" w14:paraId="58960724" w14:textId="77777777" w:rsidTr="002A4615">
        <w:trPr>
          <w:trHeight w:val="661"/>
        </w:trPr>
        <w:tc>
          <w:tcPr>
            <w:tcW w:w="10440" w:type="dxa"/>
            <w:gridSpan w:val="4"/>
            <w:tcBorders>
              <w:top w:val="nil"/>
              <w:bottom w:val="single" w:sz="4" w:space="0" w:color="auto"/>
            </w:tcBorders>
          </w:tcPr>
          <w:p w14:paraId="4F1083C8" w14:textId="77777777" w:rsidR="00006DAD" w:rsidRPr="00C10D88" w:rsidRDefault="00006DAD" w:rsidP="002A4615">
            <w:pPr>
              <w:jc w:val="left"/>
              <w:rPr>
                <w:rFonts w:ascii="Times New Roman" w:hAnsi="Times New Roman"/>
                <w:sz w:val="22"/>
                <w:szCs w:val="22"/>
                <w:vertAlign w:val="superscript"/>
                <w:lang w:val="en-US" w:eastAsia="zh-CN"/>
              </w:rPr>
            </w:pPr>
          </w:p>
          <w:p w14:paraId="479C7735" w14:textId="77777777" w:rsidR="00006DAD" w:rsidRPr="00C10D88" w:rsidRDefault="00006DAD" w:rsidP="002A4615">
            <w:pPr>
              <w:jc w:val="left"/>
              <w:rPr>
                <w:rFonts w:ascii="Times New Roman" w:hAnsi="Times New Roman"/>
                <w:sz w:val="22"/>
                <w:szCs w:val="22"/>
                <w:lang w:val="en-US" w:eastAsia="zh-CN"/>
              </w:rPr>
            </w:pPr>
            <w:r w:rsidRPr="00391379">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C10D88"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C10D88" w:rsidRDefault="00006DAD" w:rsidP="002A4615">
            <w:pPr>
              <w:jc w:val="left"/>
              <w:rPr>
                <w:rFonts w:ascii="Times New Roman" w:hAnsi="Times New Roman"/>
                <w:b/>
                <w:iCs/>
                <w:sz w:val="22"/>
                <w:szCs w:val="22"/>
                <w:lang w:eastAsia="zh-CN"/>
              </w:rPr>
            </w:pPr>
          </w:p>
          <w:p w14:paraId="31E0D830" w14:textId="7789E4D9" w:rsidR="00006DAD" w:rsidRPr="00C10D88" w:rsidRDefault="00006DAD" w:rsidP="002A4615">
            <w:pPr>
              <w:jc w:val="left"/>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C10D88"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C10D88" w:rsidRDefault="00006DAD" w:rsidP="002A4615">
            <w:pPr>
              <w:jc w:val="left"/>
              <w:rPr>
                <w:rFonts w:ascii="Times New Roman" w:hAnsi="Times New Roman"/>
                <w:b/>
                <w:iCs/>
                <w:sz w:val="22"/>
                <w:szCs w:val="22"/>
                <w:lang w:eastAsia="zh-CN"/>
              </w:rPr>
            </w:pPr>
          </w:p>
          <w:p w14:paraId="3EA0E1EA" w14:textId="77777777" w:rsidR="00006DAD" w:rsidRPr="00C10D88" w:rsidRDefault="00006DAD" w:rsidP="002A4615">
            <w:pPr>
              <w:jc w:val="left"/>
              <w:rPr>
                <w:rFonts w:ascii="Times New Roman" w:hAnsi="Times New Roman"/>
                <w:b/>
                <w:iCs/>
                <w:sz w:val="22"/>
                <w:szCs w:val="22"/>
                <w:lang w:eastAsia="zh-CN"/>
              </w:rPr>
            </w:pPr>
            <w:r w:rsidRPr="00C10D88">
              <w:rPr>
                <w:rFonts w:ascii="Times New Roman" w:hAnsi="Times New Roman"/>
                <w:b/>
                <w:iCs/>
                <w:sz w:val="22"/>
                <w:szCs w:val="22"/>
                <w:lang w:eastAsia="zh-CN"/>
              </w:rPr>
              <w:t>ABSTRACT</w:t>
            </w:r>
          </w:p>
        </w:tc>
      </w:tr>
      <w:tr w:rsidR="00006DAD" w:rsidRPr="00C10D88" w14:paraId="050370C5" w14:textId="77777777" w:rsidTr="009B663F">
        <w:trPr>
          <w:trHeight w:val="50"/>
        </w:trPr>
        <w:tc>
          <w:tcPr>
            <w:tcW w:w="3597" w:type="dxa"/>
            <w:tcBorders>
              <w:left w:val="nil"/>
              <w:bottom w:val="nil"/>
              <w:right w:val="nil"/>
            </w:tcBorders>
            <w:vAlign w:val="center"/>
          </w:tcPr>
          <w:p w14:paraId="68FB8A4C" w14:textId="77777777" w:rsidR="00006DAD" w:rsidRPr="00C10D88" w:rsidRDefault="00006DAD" w:rsidP="002A4615">
            <w:pPr>
              <w:jc w:val="left"/>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C10D88"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C10D88" w:rsidRDefault="00006DAD" w:rsidP="002A4615">
            <w:pPr>
              <w:jc w:val="left"/>
              <w:rPr>
                <w:rFonts w:ascii="Times New Roman" w:hAnsi="Times New Roman"/>
                <w:b/>
                <w:iCs/>
                <w:sz w:val="22"/>
                <w:szCs w:val="22"/>
                <w:lang w:eastAsia="zh-CN"/>
              </w:rPr>
            </w:pPr>
          </w:p>
        </w:tc>
      </w:tr>
      <w:tr w:rsidR="009A6996" w:rsidRPr="00C10D88" w14:paraId="6F38BE60" w14:textId="77777777" w:rsidTr="002A4615">
        <w:trPr>
          <w:trHeight w:val="441"/>
        </w:trPr>
        <w:tc>
          <w:tcPr>
            <w:tcW w:w="3597" w:type="dxa"/>
            <w:tcBorders>
              <w:top w:val="nil"/>
              <w:right w:val="nil"/>
            </w:tcBorders>
          </w:tcPr>
          <w:p w14:paraId="467502C4" w14:textId="5F44FE1A" w:rsidR="004A7377" w:rsidRPr="00346FA9" w:rsidRDefault="004A7377" w:rsidP="004A7377">
            <w:pPr>
              <w:jc w:val="left"/>
              <w:rPr>
                <w:rFonts w:ascii="Times New Roman" w:hAnsi="Times New Roman"/>
                <w:b/>
                <w:iCs/>
                <w:sz w:val="22"/>
                <w:szCs w:val="22"/>
                <w:lang w:val="en-US" w:eastAsia="zh-CN"/>
              </w:rPr>
            </w:pPr>
            <w:r>
              <w:rPr>
                <w:rFonts w:ascii="Times New Roman" w:hAnsi="Times New Roman"/>
                <w:b/>
                <w:iCs/>
                <w:sz w:val="22"/>
                <w:szCs w:val="22"/>
                <w:lang w:val="en-US" w:eastAsia="zh-CN"/>
              </w:rPr>
              <w:t xml:space="preserve">Received: </w:t>
            </w:r>
            <w:r w:rsidRPr="00391379">
              <w:rPr>
                <w:rFonts w:ascii="Times New Roman" w:hAnsi="Times New Roman"/>
                <w:bCs/>
                <w:iCs/>
                <w:sz w:val="22"/>
                <w:szCs w:val="22"/>
                <w:lang w:val="en-US" w:eastAsia="zh-CN"/>
              </w:rPr>
              <w:t>August 20, 2021</w:t>
            </w:r>
          </w:p>
          <w:p w14:paraId="11F7E688" w14:textId="77777777" w:rsidR="004A7377" w:rsidRPr="00391379" w:rsidRDefault="004A7377" w:rsidP="004A7377">
            <w:pPr>
              <w:jc w:val="left"/>
              <w:rPr>
                <w:rFonts w:ascii="Times New Roman" w:hAnsi="Times New Roman"/>
                <w:bCs/>
                <w:iCs/>
                <w:sz w:val="22"/>
                <w:szCs w:val="22"/>
                <w:lang w:val="en-US" w:eastAsia="zh-CN"/>
              </w:rPr>
            </w:pPr>
            <w:r w:rsidRPr="00346FA9">
              <w:rPr>
                <w:rFonts w:ascii="Times New Roman" w:hAnsi="Times New Roman"/>
                <w:b/>
                <w:iCs/>
                <w:sz w:val="22"/>
                <w:szCs w:val="22"/>
                <w:lang w:val="en-US" w:eastAsia="zh-CN"/>
              </w:rPr>
              <w:t xml:space="preserve">Revised: </w:t>
            </w:r>
            <w:r w:rsidRPr="00391379">
              <w:rPr>
                <w:rFonts w:ascii="Times New Roman" w:hAnsi="Times New Roman"/>
                <w:bCs/>
                <w:iCs/>
                <w:sz w:val="22"/>
                <w:szCs w:val="22"/>
                <w:lang w:val="en-US" w:eastAsia="zh-CN"/>
              </w:rPr>
              <w:t>November 23, 2021</w:t>
            </w:r>
          </w:p>
          <w:p w14:paraId="6E53B443" w14:textId="47DF37EC" w:rsidR="004A7377" w:rsidRPr="00346FA9" w:rsidRDefault="004A7377" w:rsidP="004A7377">
            <w:pPr>
              <w:jc w:val="left"/>
              <w:rPr>
                <w:rFonts w:ascii="Times New Roman" w:hAnsi="Times New Roman"/>
                <w:b/>
                <w:iCs/>
                <w:sz w:val="22"/>
                <w:szCs w:val="22"/>
                <w:lang w:val="en-US" w:eastAsia="zh-CN"/>
              </w:rPr>
            </w:pPr>
            <w:r w:rsidRPr="00346FA9">
              <w:rPr>
                <w:rFonts w:ascii="Times New Roman" w:hAnsi="Times New Roman"/>
                <w:b/>
                <w:iCs/>
                <w:sz w:val="22"/>
                <w:szCs w:val="22"/>
                <w:lang w:val="en-US" w:eastAsia="zh-CN"/>
              </w:rPr>
              <w:t xml:space="preserve">Accepted: </w:t>
            </w:r>
            <w:r w:rsidRPr="00391379">
              <w:rPr>
                <w:rFonts w:ascii="Times New Roman" w:hAnsi="Times New Roman"/>
                <w:bCs/>
                <w:iCs/>
                <w:sz w:val="22"/>
                <w:szCs w:val="22"/>
                <w:lang w:val="en-US" w:eastAsia="zh-CN"/>
              </w:rPr>
              <w:t>December</w:t>
            </w:r>
            <w:r w:rsidR="00E07F40" w:rsidRPr="00391379">
              <w:rPr>
                <w:rFonts w:ascii="Times New Roman" w:hAnsi="Times New Roman"/>
                <w:bCs/>
                <w:iCs/>
                <w:sz w:val="22"/>
                <w:szCs w:val="22"/>
                <w:lang w:val="en-US" w:eastAsia="zh-CN"/>
              </w:rPr>
              <w:t xml:space="preserve"> </w:t>
            </w:r>
            <w:r w:rsidR="00391379" w:rsidRPr="00391379">
              <w:rPr>
                <w:rFonts w:ascii="Times New Roman" w:hAnsi="Times New Roman"/>
                <w:bCs/>
                <w:iCs/>
                <w:sz w:val="22"/>
                <w:szCs w:val="22"/>
                <w:lang w:val="en-US" w:eastAsia="zh-CN"/>
              </w:rPr>
              <w:t>22</w:t>
            </w:r>
            <w:r w:rsidRPr="00391379">
              <w:rPr>
                <w:rFonts w:ascii="Times New Roman" w:hAnsi="Times New Roman"/>
                <w:bCs/>
                <w:iCs/>
                <w:sz w:val="22"/>
                <w:szCs w:val="22"/>
                <w:lang w:val="en-US" w:eastAsia="zh-CN"/>
              </w:rPr>
              <w:t>, 2021</w:t>
            </w:r>
          </w:p>
          <w:p w14:paraId="6E414183" w14:textId="64186DCD" w:rsidR="009A6996" w:rsidRPr="00C10D88" w:rsidRDefault="00E07F40" w:rsidP="004A7377">
            <w:pPr>
              <w:jc w:val="left"/>
              <w:rPr>
                <w:rFonts w:ascii="Times New Roman" w:hAnsi="Times New Roman"/>
                <w:iCs/>
                <w:sz w:val="22"/>
                <w:szCs w:val="22"/>
                <w:lang w:val="en-US" w:eastAsia="zh-CN"/>
              </w:rPr>
            </w:pPr>
            <w:r>
              <w:rPr>
                <w:rFonts w:ascii="Times New Roman" w:hAnsi="Times New Roman"/>
                <w:b/>
                <w:iCs/>
                <w:sz w:val="22"/>
                <w:szCs w:val="22"/>
                <w:lang w:val="en-US" w:eastAsia="zh-CN"/>
              </w:rPr>
              <w:t xml:space="preserve">Available online: </w:t>
            </w:r>
            <w:r w:rsidRPr="00391379">
              <w:rPr>
                <w:rFonts w:ascii="Times New Roman" w:hAnsi="Times New Roman"/>
                <w:bCs/>
                <w:iCs/>
                <w:sz w:val="22"/>
                <w:szCs w:val="22"/>
                <w:lang w:val="en-US" w:eastAsia="zh-CN"/>
              </w:rPr>
              <w:t>December 2</w:t>
            </w:r>
            <w:r w:rsidR="00391379" w:rsidRPr="00391379">
              <w:rPr>
                <w:rFonts w:ascii="Times New Roman" w:hAnsi="Times New Roman"/>
                <w:bCs/>
                <w:iCs/>
                <w:sz w:val="22"/>
                <w:szCs w:val="22"/>
                <w:lang w:val="en-US" w:eastAsia="zh-CN"/>
              </w:rPr>
              <w:t>9</w:t>
            </w:r>
            <w:r w:rsidR="004A7377" w:rsidRPr="00391379">
              <w:rPr>
                <w:rFonts w:ascii="Times New Roman" w:hAnsi="Times New Roman"/>
                <w:bCs/>
                <w:iCs/>
                <w:sz w:val="22"/>
                <w:szCs w:val="22"/>
                <w:lang w:val="en-US" w:eastAsia="zh-CN"/>
              </w:rPr>
              <w:t>, 2021</w:t>
            </w:r>
          </w:p>
        </w:tc>
        <w:tc>
          <w:tcPr>
            <w:tcW w:w="270" w:type="dxa"/>
            <w:tcBorders>
              <w:top w:val="nil"/>
              <w:left w:val="nil"/>
              <w:bottom w:val="nil"/>
              <w:right w:val="nil"/>
            </w:tcBorders>
          </w:tcPr>
          <w:p w14:paraId="587B3B32" w14:textId="77777777" w:rsidR="009A6996" w:rsidRPr="00C10D88" w:rsidRDefault="009A6996" w:rsidP="002A4615">
            <w:pPr>
              <w:rPr>
                <w:rFonts w:ascii="Times New Roman" w:hAnsi="Times New Roman"/>
                <w:sz w:val="22"/>
                <w:szCs w:val="22"/>
                <w:lang w:val="en-US"/>
              </w:rPr>
            </w:pPr>
          </w:p>
        </w:tc>
        <w:tc>
          <w:tcPr>
            <w:tcW w:w="6573" w:type="dxa"/>
            <w:gridSpan w:val="2"/>
            <w:vMerge w:val="restart"/>
            <w:tcBorders>
              <w:top w:val="nil"/>
              <w:left w:val="nil"/>
            </w:tcBorders>
          </w:tcPr>
          <w:p w14:paraId="51AABEDF" w14:textId="77777777" w:rsidR="00A03C01" w:rsidRPr="00033BEA" w:rsidRDefault="00A03C01" w:rsidP="00A03C01">
            <w:pPr>
              <w:widowControl w:val="0"/>
              <w:autoSpaceDE w:val="0"/>
              <w:autoSpaceDN w:val="0"/>
              <w:adjustRightInd w:val="0"/>
              <w:spacing w:after="240"/>
              <w:rPr>
                <w:rFonts w:eastAsia="Times New Roman" w:cs="Calibri"/>
                <w:i/>
                <w:iCs/>
                <w:sz w:val="24"/>
                <w:szCs w:val="24"/>
              </w:rPr>
            </w:pPr>
            <w:r w:rsidRPr="00033BEA">
              <w:rPr>
                <w:rFonts w:eastAsia="Times New Roman" w:cs="Calibri"/>
                <w:bCs/>
                <w:i/>
                <w:iCs/>
                <w:sz w:val="24"/>
                <w:szCs w:val="24"/>
              </w:rPr>
              <w:t>Rearing of some plankton species in laboratory conditions for utilization as live feed for fish larvae was conducted in 2019 at laboratory. Batch experiments were carried out in three consecutive phases. Phase</w:t>
            </w:r>
            <w:r w:rsidRPr="00033BEA">
              <w:rPr>
                <w:rFonts w:eastAsia="Times New Roman" w:cs="Calibri"/>
                <w:i/>
                <w:iCs/>
                <w:sz w:val="24"/>
                <w:szCs w:val="24"/>
              </w:rPr>
              <w:t xml:space="preserve"> I</w:t>
            </w:r>
            <w:r w:rsidRPr="00033BEA">
              <w:rPr>
                <w:rFonts w:eastAsia="Times New Roman" w:cs="Calibri"/>
                <w:bCs/>
                <w:i/>
                <w:iCs/>
                <w:sz w:val="24"/>
                <w:szCs w:val="24"/>
              </w:rPr>
              <w:t xml:space="preserve"> was the culture of </w:t>
            </w:r>
            <w:r w:rsidRPr="00033BEA">
              <w:rPr>
                <w:rFonts w:eastAsia="Times New Roman" w:cs="Calibri"/>
                <w:i/>
                <w:iCs/>
                <w:sz w:val="24"/>
                <w:szCs w:val="24"/>
              </w:rPr>
              <w:t xml:space="preserve">Scenedesmus species by using </w:t>
            </w:r>
            <w:r w:rsidRPr="00033BEA">
              <w:rPr>
                <w:rFonts w:eastAsia="Times New Roman" w:cs="Calibri"/>
                <w:bCs/>
                <w:i/>
                <w:iCs/>
                <w:sz w:val="24"/>
                <w:szCs w:val="24"/>
              </w:rPr>
              <w:t xml:space="preserve">Guillard’s F/2 media and NPSZn fertilizer treatments. Phase </w:t>
            </w:r>
            <w:r w:rsidRPr="00033BEA">
              <w:rPr>
                <w:rFonts w:eastAsia="Times New Roman" w:cs="Calibri"/>
                <w:i/>
                <w:iCs/>
                <w:sz w:val="24"/>
                <w:szCs w:val="24"/>
              </w:rPr>
              <w:t>II</w:t>
            </w:r>
            <w:r w:rsidRPr="00033BEA">
              <w:rPr>
                <w:rFonts w:eastAsia="Times New Roman" w:cs="Calibri"/>
                <w:bCs/>
                <w:i/>
                <w:iCs/>
                <w:sz w:val="24"/>
                <w:szCs w:val="24"/>
              </w:rPr>
              <w:t xml:space="preserve"> was the culture of Daphnia</w:t>
            </w:r>
            <w:r w:rsidRPr="00033BEA">
              <w:rPr>
                <w:rFonts w:eastAsia="Times New Roman" w:cs="Calibri"/>
                <w:i/>
                <w:iCs/>
                <w:sz w:val="24"/>
                <w:szCs w:val="24"/>
              </w:rPr>
              <w:t xml:space="preserve"> magna with the feed of the cultured Scenedesmus sp. and algae harvested from fishponds. Phase III was the development and survival of catfish larvae after feeding with cultured D. magna and artificial feed of boiled chicken yolk and soybean. The specific growth rate of the cultured Scenedesmus sp. was 0.28 and 0.31 per day in the experiments of </w:t>
            </w:r>
            <w:r w:rsidRPr="00033BEA">
              <w:rPr>
                <w:rFonts w:eastAsia="Times New Roman" w:cs="Calibri"/>
                <w:bCs/>
                <w:i/>
                <w:iCs/>
                <w:sz w:val="24"/>
                <w:szCs w:val="24"/>
              </w:rPr>
              <w:t>NPSZn fertilizer and Guillard’s F/2 media, respectively. The total biomass of the cultured algae was 144 µg/L. The abundance of cultured Daphnia sp. showed an increasing tendency with the number of days cultured. The survival rate of the African catfish larvae was 30.37%. However, the larva showed fast growth and good weight gain in a short time when fed with live Daphnia sp. compared to the artificial soybean feed.</w:t>
            </w:r>
            <w:r w:rsidRPr="00033BEA">
              <w:rPr>
                <w:rFonts w:eastAsia="Times New Roman" w:cs="Calibri"/>
                <w:i/>
                <w:iCs/>
                <w:sz w:val="24"/>
                <w:szCs w:val="24"/>
              </w:rPr>
              <w:t xml:space="preserve"> Thus, during the feeding time of Live D. magna in the laboratory, African catfish larvae grew quickly and gained a lot of weight.</w:t>
            </w:r>
          </w:p>
          <w:p w14:paraId="0A9AC9B4" w14:textId="0DDC7555" w:rsidR="009A6996" w:rsidRPr="00C10D88" w:rsidRDefault="009A6996" w:rsidP="00A03C01">
            <w:pPr>
              <w:widowControl w:val="0"/>
              <w:autoSpaceDE w:val="0"/>
              <w:autoSpaceDN w:val="0"/>
              <w:adjustRightInd w:val="0"/>
              <w:rPr>
                <w:rFonts w:ascii="Times New Roman" w:eastAsia="Times New Roman" w:hAnsi="Times New Roman"/>
                <w:i/>
                <w:iCs/>
                <w:sz w:val="24"/>
                <w:szCs w:val="24"/>
              </w:rPr>
            </w:pPr>
          </w:p>
        </w:tc>
      </w:tr>
      <w:tr w:rsidR="009A6996" w:rsidRPr="00C10D88" w14:paraId="2BF69221" w14:textId="77777777" w:rsidTr="002A4615">
        <w:trPr>
          <w:trHeight w:val="1253"/>
        </w:trPr>
        <w:tc>
          <w:tcPr>
            <w:tcW w:w="3597" w:type="dxa"/>
            <w:tcBorders>
              <w:right w:val="nil"/>
            </w:tcBorders>
          </w:tcPr>
          <w:p w14:paraId="6EEC6DB8" w14:textId="77777777" w:rsidR="009A6996" w:rsidRPr="00C10D88" w:rsidRDefault="009A6996" w:rsidP="002A4615">
            <w:pPr>
              <w:jc w:val="left"/>
              <w:rPr>
                <w:rFonts w:ascii="Times New Roman" w:hAnsi="Times New Roman"/>
                <w:b/>
                <w:i/>
                <w:sz w:val="22"/>
                <w:szCs w:val="22"/>
                <w:lang w:val="en-US" w:eastAsia="zh-CN"/>
              </w:rPr>
            </w:pPr>
          </w:p>
          <w:p w14:paraId="389C44E9" w14:textId="4B0EF58A" w:rsidR="00A03C01" w:rsidRPr="00501867" w:rsidRDefault="00391379" w:rsidP="00A03C01">
            <w:pPr>
              <w:widowControl w:val="0"/>
              <w:autoSpaceDE w:val="0"/>
              <w:autoSpaceDN w:val="0"/>
              <w:adjustRightInd w:val="0"/>
              <w:rPr>
                <w:rFonts w:eastAsia="Times New Roman" w:cs="Calibri"/>
                <w:i/>
                <w:iCs/>
                <w:sz w:val="24"/>
                <w:szCs w:val="24"/>
              </w:rPr>
            </w:pPr>
            <w:r>
              <w:rPr>
                <w:rFonts w:eastAsia="Times New Roman" w:cs="Calibri"/>
                <w:b/>
                <w:bCs/>
                <w:i/>
                <w:iCs/>
                <w:sz w:val="24"/>
                <w:szCs w:val="24"/>
              </w:rPr>
              <w:t>Keywords</w:t>
            </w:r>
            <w:r w:rsidR="00A03C01" w:rsidRPr="00501867">
              <w:rPr>
                <w:rFonts w:eastAsia="Times New Roman" w:cs="Calibri"/>
                <w:b/>
                <w:bCs/>
                <w:i/>
                <w:iCs/>
                <w:sz w:val="24"/>
                <w:szCs w:val="24"/>
              </w:rPr>
              <w:t xml:space="preserve">: </w:t>
            </w:r>
            <w:r w:rsidR="00A03C01" w:rsidRPr="00501867">
              <w:rPr>
                <w:rFonts w:eastAsia="Times New Roman" w:cs="Calibri"/>
                <w:i/>
                <w:iCs/>
                <w:sz w:val="24"/>
                <w:szCs w:val="24"/>
              </w:rPr>
              <w:t>Abundance of plankton species, African catfish larvae, Glass aquaria, Growth rate, Larvae feed, Survival rate</w:t>
            </w:r>
          </w:p>
          <w:p w14:paraId="760356BE" w14:textId="25D4CE00" w:rsidR="009A6996" w:rsidRPr="00C10D88" w:rsidRDefault="009A6996" w:rsidP="00ED4DB7">
            <w:pPr>
              <w:jc w:val="left"/>
              <w:rPr>
                <w:rFonts w:ascii="Times New Roman" w:hAnsi="Times New Roman"/>
                <w:b/>
                <w:i/>
                <w:sz w:val="22"/>
                <w:szCs w:val="22"/>
                <w:lang w:val="en-US" w:eastAsia="zh-CN"/>
              </w:rPr>
            </w:pPr>
          </w:p>
        </w:tc>
        <w:tc>
          <w:tcPr>
            <w:tcW w:w="270" w:type="dxa"/>
            <w:tcBorders>
              <w:top w:val="nil"/>
              <w:left w:val="nil"/>
              <w:bottom w:val="nil"/>
              <w:right w:val="nil"/>
            </w:tcBorders>
          </w:tcPr>
          <w:p w14:paraId="79239F65" w14:textId="77777777" w:rsidR="009A6996" w:rsidRPr="00C10D88" w:rsidRDefault="009A6996"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9A6996" w:rsidRPr="00C10D88" w:rsidRDefault="009A6996" w:rsidP="002A4615">
            <w:pPr>
              <w:jc w:val="center"/>
              <w:rPr>
                <w:rFonts w:ascii="Times New Roman" w:hAnsi="Times New Roman"/>
                <w:b/>
                <w:i/>
                <w:sz w:val="22"/>
                <w:szCs w:val="22"/>
                <w:lang w:val="en-US" w:eastAsia="zh-CN"/>
              </w:rPr>
            </w:pPr>
          </w:p>
        </w:tc>
      </w:tr>
    </w:tbl>
    <w:p w14:paraId="4C29E15C" w14:textId="77777777" w:rsidR="000C2D13" w:rsidRPr="00C10D88" w:rsidRDefault="000C2D13" w:rsidP="000C2D13">
      <w:pPr>
        <w:tabs>
          <w:tab w:val="left" w:pos="720"/>
        </w:tabs>
        <w:spacing w:after="200" w:line="276" w:lineRule="auto"/>
        <w:textAlignment w:val="baseline"/>
        <w:rPr>
          <w:rFonts w:ascii="Times New Roman" w:hAnsi="Times New Roman"/>
          <w:b/>
          <w:sz w:val="22"/>
          <w:szCs w:val="22"/>
          <w:lang w:val="en-US"/>
        </w:rPr>
        <w:sectPr w:rsidR="000C2D13" w:rsidRPr="00C10D88" w:rsidSect="009D5751">
          <w:footerReference w:type="default" r:id="rId10"/>
          <w:footerReference w:type="first" r:id="rId11"/>
          <w:type w:val="continuous"/>
          <w:pgSz w:w="11907" w:h="16839" w:code="9"/>
          <w:pgMar w:top="630" w:right="719" w:bottom="1138" w:left="720" w:header="737" w:footer="737" w:gutter="0"/>
          <w:pgNumType w:start="138"/>
          <w:cols w:space="720"/>
          <w:titlePg/>
          <w:docGrid w:linePitch="272"/>
        </w:sectPr>
      </w:pPr>
    </w:p>
    <w:p w14:paraId="72DC3B81" w14:textId="77777777" w:rsidR="00EA4A1F" w:rsidRPr="00C10D88" w:rsidRDefault="00EA4A1F" w:rsidP="000749FF">
      <w:pPr>
        <w:tabs>
          <w:tab w:val="left" w:pos="720"/>
        </w:tabs>
        <w:spacing w:after="200" w:line="276" w:lineRule="auto"/>
        <w:textAlignment w:val="baseline"/>
        <w:rPr>
          <w:rFonts w:ascii="Times New Roman" w:hAnsi="Times New Roman"/>
          <w:b/>
          <w:sz w:val="22"/>
          <w:szCs w:val="22"/>
          <w:lang w:val="en-US"/>
        </w:rPr>
        <w:sectPr w:rsidR="00EA4A1F" w:rsidRPr="00C10D88" w:rsidSect="008E7143">
          <w:type w:val="continuous"/>
          <w:pgSz w:w="11907" w:h="16839" w:code="9"/>
          <w:pgMar w:top="630" w:right="719" w:bottom="1138" w:left="720" w:header="737" w:footer="737" w:gutter="0"/>
          <w:cols w:space="720"/>
          <w:titlePg/>
          <w:docGrid w:linePitch="272"/>
        </w:sectPr>
      </w:pPr>
    </w:p>
    <w:p w14:paraId="0354C5F4" w14:textId="77777777" w:rsidR="008E7143" w:rsidRPr="00C10D88" w:rsidRDefault="008E7143" w:rsidP="008E7143">
      <w:pPr>
        <w:widowControl w:val="0"/>
        <w:autoSpaceDE w:val="0"/>
        <w:autoSpaceDN w:val="0"/>
        <w:spacing w:after="240"/>
        <w:rPr>
          <w:rFonts w:ascii="Times New Roman" w:eastAsia="Times New Roman" w:hAnsi="Times New Roman"/>
          <w:b/>
          <w:bCs/>
          <w:sz w:val="24"/>
          <w:szCs w:val="24"/>
        </w:rPr>
      </w:pPr>
    </w:p>
    <w:p w14:paraId="436B452A" w14:textId="77777777" w:rsidR="00C10D88" w:rsidRPr="00C10D88" w:rsidRDefault="00C10D88" w:rsidP="008E7143">
      <w:pPr>
        <w:widowControl w:val="0"/>
        <w:autoSpaceDE w:val="0"/>
        <w:autoSpaceDN w:val="0"/>
        <w:spacing w:after="240"/>
        <w:rPr>
          <w:rFonts w:ascii="Times New Roman" w:eastAsia="Times New Roman" w:hAnsi="Times New Roman"/>
          <w:b/>
          <w:bCs/>
          <w:sz w:val="24"/>
          <w:szCs w:val="24"/>
        </w:rPr>
      </w:pPr>
    </w:p>
    <w:p w14:paraId="0549307B" w14:textId="77777777" w:rsidR="00C10D88" w:rsidRPr="00C10D88" w:rsidRDefault="00C10D88" w:rsidP="008E7143">
      <w:pPr>
        <w:widowControl w:val="0"/>
        <w:autoSpaceDE w:val="0"/>
        <w:autoSpaceDN w:val="0"/>
        <w:spacing w:after="240"/>
        <w:rPr>
          <w:rFonts w:ascii="Times New Roman" w:eastAsia="Times New Roman" w:hAnsi="Times New Roman"/>
          <w:b/>
          <w:bCs/>
          <w:sz w:val="24"/>
          <w:szCs w:val="24"/>
        </w:rPr>
      </w:pPr>
    </w:p>
    <w:p w14:paraId="63D59874" w14:textId="77777777" w:rsidR="00C10D88" w:rsidRPr="00C10D88" w:rsidRDefault="00C10D88" w:rsidP="008E7143">
      <w:pPr>
        <w:widowControl w:val="0"/>
        <w:autoSpaceDE w:val="0"/>
        <w:autoSpaceDN w:val="0"/>
        <w:spacing w:after="240"/>
        <w:rPr>
          <w:rFonts w:ascii="Times New Roman" w:eastAsia="Times New Roman" w:hAnsi="Times New Roman"/>
          <w:b/>
          <w:bCs/>
          <w:sz w:val="24"/>
          <w:szCs w:val="24"/>
        </w:rPr>
      </w:pPr>
    </w:p>
    <w:p w14:paraId="7D89AEF6" w14:textId="77777777" w:rsidR="00501CFE" w:rsidRDefault="00501CFE" w:rsidP="00C10D88">
      <w:pPr>
        <w:widowControl w:val="0"/>
        <w:autoSpaceDE w:val="0"/>
        <w:autoSpaceDN w:val="0"/>
        <w:spacing w:after="240"/>
        <w:rPr>
          <w:rFonts w:ascii="Times New Roman" w:eastAsia="Times New Roman" w:hAnsi="Times New Roman"/>
          <w:b/>
          <w:sz w:val="24"/>
          <w:szCs w:val="24"/>
        </w:rPr>
      </w:pPr>
    </w:p>
    <w:p w14:paraId="260A1F43" w14:textId="77777777" w:rsidR="00501CFE" w:rsidRDefault="00501CFE" w:rsidP="00C10D88">
      <w:pPr>
        <w:widowControl w:val="0"/>
        <w:autoSpaceDE w:val="0"/>
        <w:autoSpaceDN w:val="0"/>
        <w:spacing w:after="240"/>
        <w:rPr>
          <w:rFonts w:ascii="Times New Roman" w:eastAsia="Times New Roman" w:hAnsi="Times New Roman"/>
          <w:b/>
          <w:sz w:val="24"/>
          <w:szCs w:val="24"/>
        </w:rPr>
      </w:pPr>
    </w:p>
    <w:p w14:paraId="6D5E059C" w14:textId="77777777" w:rsidR="00501CFE" w:rsidRDefault="00501CFE" w:rsidP="00C10D88">
      <w:pPr>
        <w:widowControl w:val="0"/>
        <w:autoSpaceDE w:val="0"/>
        <w:autoSpaceDN w:val="0"/>
        <w:spacing w:after="240"/>
        <w:rPr>
          <w:rFonts w:ascii="Times New Roman" w:eastAsia="Times New Roman" w:hAnsi="Times New Roman"/>
          <w:b/>
          <w:sz w:val="24"/>
          <w:szCs w:val="24"/>
        </w:rPr>
      </w:pPr>
    </w:p>
    <w:p w14:paraId="34FD94A9" w14:textId="77777777" w:rsidR="00501CFE" w:rsidRDefault="00501CFE" w:rsidP="00C10D88">
      <w:pPr>
        <w:widowControl w:val="0"/>
        <w:autoSpaceDE w:val="0"/>
        <w:autoSpaceDN w:val="0"/>
        <w:spacing w:after="240"/>
        <w:rPr>
          <w:rFonts w:ascii="Times New Roman" w:eastAsia="Times New Roman" w:hAnsi="Times New Roman"/>
          <w:b/>
          <w:sz w:val="24"/>
          <w:szCs w:val="24"/>
        </w:rPr>
        <w:sectPr w:rsidR="00501CFE" w:rsidSect="00C10D88">
          <w:type w:val="continuous"/>
          <w:pgSz w:w="11907" w:h="16839" w:code="9"/>
          <w:pgMar w:top="1440" w:right="1440" w:bottom="1440" w:left="1440" w:header="720" w:footer="720" w:gutter="0"/>
          <w:cols w:space="720"/>
          <w:docGrid w:linePitch="360"/>
        </w:sectPr>
      </w:pPr>
    </w:p>
    <w:p w14:paraId="16DBBE51" w14:textId="7482ABDB" w:rsidR="00501CFE" w:rsidRPr="001922FF" w:rsidRDefault="00501CFE" w:rsidP="001922FF">
      <w:pPr>
        <w:pStyle w:val="ListParagraph"/>
        <w:widowControl w:val="0"/>
        <w:numPr>
          <w:ilvl w:val="0"/>
          <w:numId w:val="33"/>
        </w:numPr>
        <w:autoSpaceDE w:val="0"/>
        <w:autoSpaceDN w:val="0"/>
        <w:spacing w:after="240"/>
        <w:ind w:firstLineChars="0"/>
        <w:rPr>
          <w:rFonts w:eastAsia="Times New Roman" w:cs="Calibri"/>
          <w:b/>
          <w:bCs/>
          <w:sz w:val="24"/>
          <w:szCs w:val="24"/>
        </w:rPr>
      </w:pPr>
      <w:r w:rsidRPr="001922FF">
        <w:rPr>
          <w:rFonts w:eastAsia="Times New Roman" w:cs="Calibri"/>
          <w:b/>
          <w:bCs/>
          <w:sz w:val="24"/>
          <w:szCs w:val="24"/>
        </w:rPr>
        <w:lastRenderedPageBreak/>
        <w:t>INTRODUCTION</w:t>
      </w:r>
    </w:p>
    <w:p w14:paraId="46F43078" w14:textId="77777777" w:rsidR="00501CFE" w:rsidRDefault="00501CFE" w:rsidP="00501CFE">
      <w:pPr>
        <w:widowControl w:val="0"/>
        <w:autoSpaceDE w:val="0"/>
        <w:autoSpaceDN w:val="0"/>
        <w:adjustRightInd w:val="0"/>
        <w:spacing w:after="240"/>
        <w:rPr>
          <w:rFonts w:eastAsia="Times New Roman" w:cs="Calibri"/>
          <w:sz w:val="24"/>
          <w:szCs w:val="24"/>
        </w:rPr>
        <w:sectPr w:rsidR="00501CFE" w:rsidSect="00501CFE">
          <w:type w:val="continuous"/>
          <w:pgSz w:w="11907" w:h="16839" w:code="9"/>
          <w:pgMar w:top="1440" w:right="1440" w:bottom="1440" w:left="1440" w:header="720" w:footer="720" w:gutter="0"/>
          <w:cols w:space="720"/>
          <w:docGrid w:linePitch="360"/>
        </w:sectPr>
      </w:pPr>
    </w:p>
    <w:p w14:paraId="16CC6D4B" w14:textId="6610D77B" w:rsidR="00501CFE" w:rsidRPr="00E548E6" w:rsidRDefault="00501CFE" w:rsidP="00E548E6">
      <w:pPr>
        <w:widowControl w:val="0"/>
        <w:autoSpaceDE w:val="0"/>
        <w:autoSpaceDN w:val="0"/>
        <w:adjustRightInd w:val="0"/>
        <w:spacing w:after="240"/>
        <w:rPr>
          <w:rFonts w:eastAsia="Times New Roman" w:cs="Calibri"/>
          <w:sz w:val="24"/>
          <w:szCs w:val="24"/>
        </w:rPr>
      </w:pPr>
      <w:r w:rsidRPr="00033BEA">
        <w:rPr>
          <w:rFonts w:eastAsia="Times New Roman" w:cs="Calibri"/>
          <w:sz w:val="24"/>
          <w:szCs w:val="24"/>
        </w:rPr>
        <w:t xml:space="preserve">An option for keeping cultured stock healthy is to feed them live food in addition to additional artificial feed because of this, Essential proteins, lipids, carbohydrates, vitamins, minerals, amino acids and fatty acids are all found in live food species (New 1998). As a result, the nutritional components of natural live foods must be important to feed the fish larvae in order to achieve optimum fry production and profitability in aquaculture. Phytoplankton and zooplankton creatures that can swim in the water column and are always available to fish larvae play a significant role in aquaculture as a source of zooplankton for feeding fish and other larvae (Murugesan et al 2010). They supply vital nutrients such as vitamins, essential poly-unsaturated fatty acids (PUFA), pigments, and sterols, in addition to protein (necessary amino acids) and energy, which are passed along the food chain and the nutritional value of any algal species is determined by cell size, digestibility, toxic compound production, and biochemical composition (Murugesan et al 2010). Fishes have a diverse range of live food preferences and may be classified as herbivores, carnivores, omnivores and detritivores (Evjemo et al 2003). Zooplankton generally feed on phytoplankton and constitutes a major part of the diet for freshwater fish larvae in the natural food web (Evjemo et al 2003). They are crucial in fish hatchery because they are the first food for many cultured fishes. The larvae of most fish species prefer to feed on live zooplankton due to their easy digestibility </w:t>
      </w:r>
      <w:r w:rsidRPr="00033BEA">
        <w:rPr>
          <w:rFonts w:eastAsia="Times New Roman" w:cs="Calibri"/>
          <w:bCs/>
          <w:sz w:val="24"/>
          <w:szCs w:val="24"/>
        </w:rPr>
        <w:t xml:space="preserve">(Das </w:t>
      </w:r>
      <w:r w:rsidRPr="00033BEA">
        <w:rPr>
          <w:rFonts w:eastAsia="Times New Roman" w:cs="Calibri"/>
          <w:bCs/>
          <w:i/>
          <w:sz w:val="24"/>
          <w:szCs w:val="24"/>
        </w:rPr>
        <w:t>et al</w:t>
      </w:r>
      <w:r w:rsidRPr="00033BEA">
        <w:rPr>
          <w:rFonts w:eastAsia="Times New Roman" w:cs="Calibri"/>
          <w:bCs/>
          <w:sz w:val="24"/>
          <w:szCs w:val="24"/>
        </w:rPr>
        <w:t xml:space="preserve"> 2012)</w:t>
      </w:r>
      <w:r w:rsidRPr="00033BEA">
        <w:rPr>
          <w:rFonts w:eastAsia="Times New Roman" w:cs="Calibri"/>
          <w:sz w:val="24"/>
          <w:szCs w:val="24"/>
        </w:rPr>
        <w:t xml:space="preserve">. They have also a high food value as protein source of fish than artificial supplemented feed, and contain enzymes like amylase, protease, exonuclease and esterase, which play important role in larvae nutrition (Yamamoto et al 1994). </w:t>
      </w:r>
    </w:p>
    <w:p w14:paraId="3B899E1A" w14:textId="77777777" w:rsidR="00501CFE" w:rsidRPr="00033BEA" w:rsidRDefault="00501CFE" w:rsidP="00501CFE">
      <w:pPr>
        <w:widowControl w:val="0"/>
        <w:autoSpaceDE w:val="0"/>
        <w:autoSpaceDN w:val="0"/>
        <w:adjustRightInd w:val="0"/>
        <w:rPr>
          <w:rFonts w:eastAsia="Times New Roman" w:cs="Calibri"/>
          <w:sz w:val="24"/>
          <w:szCs w:val="24"/>
        </w:rPr>
      </w:pPr>
      <w:r w:rsidRPr="00033BEA">
        <w:rPr>
          <w:rFonts w:eastAsia="Times New Roman" w:cs="Calibri"/>
          <w:bCs/>
          <w:sz w:val="24"/>
          <w:szCs w:val="24"/>
        </w:rPr>
        <w:t xml:space="preserve">Among the live feed zooplankters, cladocerans are important components in </w:t>
      </w:r>
      <w:r w:rsidRPr="00033BEA">
        <w:rPr>
          <w:rFonts w:eastAsia="Times New Roman" w:cs="Calibri"/>
          <w:bCs/>
          <w:sz w:val="24"/>
          <w:szCs w:val="24"/>
        </w:rPr>
        <w:t xml:space="preserve">most freshwater fish communities (MacIsaac and Gilbert 1991). </w:t>
      </w:r>
      <w:r w:rsidRPr="00033BEA">
        <w:rPr>
          <w:rFonts w:eastAsia="Times New Roman" w:cs="Calibri"/>
          <w:sz w:val="24"/>
          <w:szCs w:val="24"/>
        </w:rPr>
        <w:t xml:space="preserve">Three cladocerans, namely: </w:t>
      </w:r>
      <w:r w:rsidRPr="00033BEA">
        <w:rPr>
          <w:rFonts w:eastAsia="Times New Roman" w:cs="Calibri"/>
          <w:i/>
          <w:sz w:val="24"/>
          <w:szCs w:val="24"/>
        </w:rPr>
        <w:t>Moina</w:t>
      </w:r>
      <w:r w:rsidRPr="00033BEA">
        <w:rPr>
          <w:rFonts w:eastAsia="Times New Roman" w:cs="Calibri"/>
          <w:iCs/>
          <w:sz w:val="24"/>
          <w:szCs w:val="24"/>
        </w:rPr>
        <w:t>,</w:t>
      </w:r>
      <w:r w:rsidRPr="00033BEA">
        <w:rPr>
          <w:rFonts w:eastAsia="Times New Roman" w:cs="Calibri"/>
          <w:i/>
          <w:sz w:val="24"/>
          <w:szCs w:val="24"/>
        </w:rPr>
        <w:t xml:space="preserve"> Daphnia</w:t>
      </w:r>
      <w:r w:rsidRPr="00033BEA">
        <w:rPr>
          <w:rFonts w:eastAsia="Times New Roman" w:cs="Calibri"/>
          <w:sz w:val="24"/>
          <w:szCs w:val="24"/>
        </w:rPr>
        <w:t xml:space="preserve"> and </w:t>
      </w:r>
      <w:r w:rsidRPr="00033BEA">
        <w:rPr>
          <w:rFonts w:eastAsia="Times New Roman" w:cs="Calibri"/>
          <w:i/>
          <w:sz w:val="24"/>
          <w:szCs w:val="24"/>
        </w:rPr>
        <w:t>Ceriodaphnia</w:t>
      </w:r>
      <w:r w:rsidRPr="00033BEA">
        <w:rPr>
          <w:rFonts w:eastAsia="Times New Roman" w:cs="Calibri"/>
          <w:sz w:val="24"/>
          <w:szCs w:val="24"/>
        </w:rPr>
        <w:t xml:space="preserve"> sp. are important as live food fishes. Moina is smaller in size (0.5 to 2 mm) than </w:t>
      </w:r>
      <w:r w:rsidRPr="00033BEA">
        <w:rPr>
          <w:rFonts w:eastAsia="Times New Roman" w:cs="Calibri"/>
          <w:i/>
          <w:sz w:val="24"/>
          <w:szCs w:val="24"/>
        </w:rPr>
        <w:t>Daphnia</w:t>
      </w:r>
      <w:r w:rsidRPr="00033BEA">
        <w:rPr>
          <w:rFonts w:eastAsia="Times New Roman" w:cs="Calibri"/>
          <w:iCs/>
          <w:sz w:val="24"/>
          <w:szCs w:val="24"/>
        </w:rPr>
        <w:t>,</w:t>
      </w:r>
      <w:r w:rsidRPr="00033BEA">
        <w:rPr>
          <w:rFonts w:eastAsia="Times New Roman" w:cs="Calibri"/>
          <w:sz w:val="24"/>
          <w:szCs w:val="24"/>
        </w:rPr>
        <w:t xml:space="preserve"> containing 70% more protein and it is suitable for the replacement of Artemia in aqua hatcheries (Pronob </w:t>
      </w:r>
      <w:r w:rsidRPr="00033BEA">
        <w:rPr>
          <w:rFonts w:eastAsia="Times New Roman" w:cs="Calibri"/>
          <w:iCs/>
          <w:sz w:val="24"/>
          <w:szCs w:val="24"/>
        </w:rPr>
        <w:t>et al</w:t>
      </w:r>
      <w:r w:rsidRPr="00033BEA">
        <w:rPr>
          <w:rFonts w:eastAsia="Times New Roman" w:cs="Calibri"/>
          <w:sz w:val="24"/>
          <w:szCs w:val="24"/>
        </w:rPr>
        <w:t xml:space="preserve"> 2012). The species of </w:t>
      </w:r>
      <w:r w:rsidRPr="00033BEA">
        <w:rPr>
          <w:rFonts w:eastAsia="Times New Roman" w:cs="Calibri"/>
          <w:i/>
          <w:sz w:val="24"/>
          <w:szCs w:val="24"/>
        </w:rPr>
        <w:t>Moina</w:t>
      </w:r>
      <w:r w:rsidRPr="00033BEA">
        <w:rPr>
          <w:rFonts w:eastAsia="Times New Roman" w:cs="Calibri"/>
          <w:sz w:val="24"/>
          <w:szCs w:val="24"/>
        </w:rPr>
        <w:t xml:space="preserve"> has also been extensively used as live food in many hatcheries and in the maintenance and culture of commercially important fish in aquarium (Pronob </w:t>
      </w:r>
      <w:r w:rsidRPr="00033BEA">
        <w:rPr>
          <w:rFonts w:eastAsia="Times New Roman" w:cs="Calibri"/>
          <w:iCs/>
          <w:sz w:val="24"/>
          <w:szCs w:val="24"/>
        </w:rPr>
        <w:t>et al</w:t>
      </w:r>
      <w:r w:rsidRPr="00033BEA">
        <w:rPr>
          <w:rFonts w:eastAsia="Times New Roman" w:cs="Calibri"/>
          <w:sz w:val="24"/>
          <w:szCs w:val="24"/>
        </w:rPr>
        <w:t xml:space="preserve"> 2012). Daphnia is big in size and serve as live food for advanced stages of fishes. It contains a broad spectrum of digestive enzymes such as proteases, peptidases, amylase, lipase and even cellulase which serve as exoenzymes in the gut of fish (Murugesan et al 2010). In our hatchery experiments of fish larvae, we have been using the commercially purchased Artemia cyst. This species of shrimp is saline species and not easily available on the market. It is also very costly and increases the production cost of hatchery (Watson and Yanong 2012</w:t>
      </w:r>
      <w:r w:rsidRPr="00033BEA">
        <w:rPr>
          <w:rFonts w:eastAsia="Times New Roman" w:cs="Calibri"/>
          <w:b/>
          <w:bCs/>
          <w:sz w:val="24"/>
          <w:szCs w:val="24"/>
        </w:rPr>
        <w:t>)</w:t>
      </w:r>
      <w:r w:rsidRPr="00033BEA">
        <w:rPr>
          <w:rFonts w:eastAsia="Times New Roman" w:cs="Calibri"/>
          <w:sz w:val="24"/>
          <w:szCs w:val="24"/>
        </w:rPr>
        <w:t xml:space="preserve">. Due to these reasons, Artemia cysts were not taken as experimental diets in this experiment. Therefore, it is a need to search for easily available live feed in developing countries such as Ethiopia, which aspires to promote aquaculture development.  </w:t>
      </w:r>
    </w:p>
    <w:p w14:paraId="29832CB4" w14:textId="77777777" w:rsidR="00501CFE" w:rsidRPr="00033BEA" w:rsidRDefault="00501CFE" w:rsidP="00501CFE">
      <w:pPr>
        <w:widowControl w:val="0"/>
        <w:autoSpaceDE w:val="0"/>
        <w:autoSpaceDN w:val="0"/>
        <w:adjustRightInd w:val="0"/>
        <w:rPr>
          <w:rFonts w:eastAsia="Times New Roman" w:cs="Calibri"/>
          <w:sz w:val="24"/>
          <w:szCs w:val="24"/>
        </w:rPr>
      </w:pPr>
    </w:p>
    <w:p w14:paraId="2856C664" w14:textId="77777777" w:rsidR="00501CFE" w:rsidRPr="00033BEA" w:rsidRDefault="00501CFE" w:rsidP="00501CFE">
      <w:pPr>
        <w:widowControl w:val="0"/>
        <w:autoSpaceDE w:val="0"/>
        <w:autoSpaceDN w:val="0"/>
        <w:adjustRightInd w:val="0"/>
        <w:rPr>
          <w:rFonts w:eastAsia="Times New Roman" w:cs="Calibri"/>
          <w:sz w:val="24"/>
          <w:szCs w:val="24"/>
        </w:rPr>
      </w:pPr>
      <w:r w:rsidRPr="00033BEA">
        <w:rPr>
          <w:rFonts w:eastAsia="Times New Roman" w:cs="Calibri"/>
          <w:sz w:val="24"/>
          <w:szCs w:val="24"/>
        </w:rPr>
        <w:t xml:space="preserve">In this experiment, phytoplankton consist of chlorophyll-bearing organisms like </w:t>
      </w:r>
      <w:r w:rsidRPr="00033BEA">
        <w:rPr>
          <w:rFonts w:eastAsia="Times New Roman" w:cs="Calibri"/>
          <w:i/>
          <w:sz w:val="24"/>
          <w:szCs w:val="24"/>
        </w:rPr>
        <w:t xml:space="preserve">Scenedesmus </w:t>
      </w:r>
      <w:r w:rsidRPr="00033BEA">
        <w:rPr>
          <w:rFonts w:eastAsia="Times New Roman" w:cs="Calibri"/>
          <w:sz w:val="24"/>
          <w:szCs w:val="24"/>
        </w:rPr>
        <w:t xml:space="preserve">sp. and zooplankton consist of plankters like </w:t>
      </w:r>
      <w:r w:rsidRPr="00033BEA">
        <w:rPr>
          <w:rFonts w:eastAsia="Times New Roman" w:cs="Calibri"/>
          <w:i/>
          <w:iCs/>
          <w:sz w:val="24"/>
          <w:szCs w:val="24"/>
        </w:rPr>
        <w:t xml:space="preserve">Daphnia </w:t>
      </w:r>
      <w:r w:rsidRPr="00033BEA">
        <w:rPr>
          <w:rFonts w:eastAsia="Times New Roman" w:cs="Calibri"/>
          <w:i/>
          <w:sz w:val="24"/>
          <w:szCs w:val="24"/>
        </w:rPr>
        <w:t>magna</w:t>
      </w:r>
      <w:r w:rsidRPr="00033BEA" w:rsidDel="00215DFE">
        <w:rPr>
          <w:rFonts w:eastAsia="Times New Roman" w:cs="Calibri"/>
          <w:sz w:val="24"/>
          <w:szCs w:val="24"/>
        </w:rPr>
        <w:t xml:space="preserve"> </w:t>
      </w:r>
      <w:r w:rsidRPr="00033BEA">
        <w:rPr>
          <w:rFonts w:eastAsia="Times New Roman" w:cs="Calibri"/>
          <w:sz w:val="24"/>
          <w:szCs w:val="24"/>
        </w:rPr>
        <w:t>(cladoceran) that were cultured in the laboratory conditions. The selection criteria for these plankton species are due to their wide distribution in fresh water and ease of culture (Castillo 1981). Thus, the objective of this study is t</w:t>
      </w:r>
      <w:r w:rsidRPr="00033BEA">
        <w:rPr>
          <w:rFonts w:eastAsia="Times New Roman" w:cs="Calibri"/>
          <w:bCs/>
          <w:sz w:val="24"/>
          <w:szCs w:val="24"/>
        </w:rPr>
        <w:t>o develop a cultivation system by determining the optimal plankton production level for use as live fish feed in a laboratory condition.</w:t>
      </w:r>
      <w:r w:rsidRPr="00033BEA">
        <w:rPr>
          <w:rFonts w:eastAsia="Times New Roman" w:cs="Calibri"/>
          <w:sz w:val="24"/>
          <w:szCs w:val="24"/>
        </w:rPr>
        <w:t xml:space="preserve"> </w:t>
      </w:r>
      <w:r w:rsidRPr="00033BEA">
        <w:rPr>
          <w:rFonts w:eastAsia="Times New Roman" w:cs="Calibri"/>
          <w:kern w:val="24"/>
          <w:sz w:val="24"/>
          <w:szCs w:val="24"/>
        </w:rPr>
        <w:t xml:space="preserve">The limitation of the present study is that </w:t>
      </w:r>
      <w:r w:rsidRPr="00033BEA">
        <w:rPr>
          <w:rFonts w:eastAsia="Times New Roman" w:cs="Calibri"/>
          <w:kern w:val="24"/>
          <w:sz w:val="24"/>
          <w:szCs w:val="24"/>
        </w:rPr>
        <w:lastRenderedPageBreak/>
        <w:t xml:space="preserve">the </w:t>
      </w:r>
      <w:r w:rsidRPr="00033BEA">
        <w:rPr>
          <w:rFonts w:eastAsia="Times New Roman" w:cs="Calibri"/>
          <w:bCs/>
          <w:sz w:val="24"/>
          <w:szCs w:val="24"/>
        </w:rPr>
        <w:t xml:space="preserve">rearing of some species of plankton in laboratory conditions for use as live feed for fish larvae </w:t>
      </w:r>
      <w:r w:rsidRPr="00033BEA">
        <w:rPr>
          <w:rFonts w:eastAsia="Times New Roman" w:cs="Calibri"/>
          <w:kern w:val="24"/>
          <w:sz w:val="24"/>
          <w:szCs w:val="24"/>
        </w:rPr>
        <w:t>was not carried out under</w:t>
      </w:r>
      <w:r w:rsidRPr="00033BEA">
        <w:rPr>
          <w:rFonts w:eastAsia="Times New Roman" w:cs="Calibri"/>
          <w:bCs/>
          <w:sz w:val="24"/>
          <w:szCs w:val="24"/>
        </w:rPr>
        <w:t xml:space="preserve"> controlled and continuous light</w:t>
      </w:r>
      <w:r w:rsidRPr="00033BEA">
        <w:rPr>
          <w:rFonts w:eastAsia="Times New Roman" w:cs="Calibri"/>
          <w:kern w:val="24"/>
          <w:sz w:val="24"/>
          <w:szCs w:val="24"/>
        </w:rPr>
        <w:t xml:space="preserve"> and temperature conditions due to intermittent electrical power failures which may have led to dissolved oxygen deficiency in the system. </w:t>
      </w:r>
    </w:p>
    <w:p w14:paraId="2405AB5E" w14:textId="77777777" w:rsidR="00501CFE" w:rsidRPr="00033BEA" w:rsidRDefault="00501CFE" w:rsidP="00501CFE">
      <w:pPr>
        <w:widowControl w:val="0"/>
        <w:autoSpaceDE w:val="0"/>
        <w:autoSpaceDN w:val="0"/>
        <w:rPr>
          <w:rFonts w:eastAsia="Times New Roman" w:cs="Calibri"/>
          <w:b/>
          <w:bCs/>
          <w:sz w:val="24"/>
          <w:szCs w:val="24"/>
        </w:rPr>
      </w:pPr>
    </w:p>
    <w:p w14:paraId="088C021A" w14:textId="1720B878" w:rsidR="00501CFE" w:rsidRPr="000F4B5B" w:rsidRDefault="00501CFE" w:rsidP="000F4B5B">
      <w:pPr>
        <w:pStyle w:val="ListParagraph"/>
        <w:widowControl w:val="0"/>
        <w:numPr>
          <w:ilvl w:val="0"/>
          <w:numId w:val="33"/>
        </w:numPr>
        <w:autoSpaceDE w:val="0"/>
        <w:autoSpaceDN w:val="0"/>
        <w:spacing w:after="240"/>
        <w:ind w:firstLineChars="0"/>
        <w:rPr>
          <w:rFonts w:eastAsia="Times New Roman" w:cs="Calibri"/>
          <w:b/>
          <w:bCs/>
          <w:sz w:val="24"/>
          <w:szCs w:val="24"/>
        </w:rPr>
      </w:pPr>
      <w:r w:rsidRPr="000F4B5B">
        <w:rPr>
          <w:rFonts w:eastAsia="Times New Roman" w:cs="Calibri"/>
          <w:b/>
          <w:bCs/>
          <w:sz w:val="24"/>
          <w:szCs w:val="24"/>
        </w:rPr>
        <w:t>MATERIALS AND METHODS</w:t>
      </w:r>
    </w:p>
    <w:p w14:paraId="7E3967D3"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b/>
          <w:bCs/>
          <w:sz w:val="24"/>
          <w:szCs w:val="24"/>
        </w:rPr>
        <w:t>Phase</w:t>
      </w:r>
      <w:r w:rsidRPr="00033BEA">
        <w:rPr>
          <w:rFonts w:eastAsia="Times New Roman" w:cs="Calibri"/>
          <w:b/>
          <w:sz w:val="24"/>
          <w:szCs w:val="24"/>
        </w:rPr>
        <w:t xml:space="preserve"> I</w:t>
      </w:r>
      <w:r w:rsidRPr="00033BEA">
        <w:rPr>
          <w:rFonts w:eastAsia="Times New Roman" w:cs="Calibri"/>
          <w:b/>
          <w:bCs/>
          <w:sz w:val="24"/>
          <w:szCs w:val="24"/>
        </w:rPr>
        <w:t xml:space="preserve">: Culture of </w:t>
      </w:r>
      <w:r w:rsidRPr="00033BEA">
        <w:rPr>
          <w:rFonts w:eastAsia="Times New Roman" w:cs="Calibri"/>
          <w:b/>
          <w:i/>
          <w:sz w:val="24"/>
          <w:szCs w:val="24"/>
        </w:rPr>
        <w:t>Scenedesmus</w:t>
      </w:r>
      <w:r w:rsidRPr="00033BEA">
        <w:rPr>
          <w:rFonts w:eastAsia="Times New Roman" w:cs="Calibri"/>
          <w:b/>
          <w:sz w:val="24"/>
          <w:szCs w:val="24"/>
        </w:rPr>
        <w:t xml:space="preserve"> species </w:t>
      </w:r>
    </w:p>
    <w:p w14:paraId="7B50F552"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The</w:t>
      </w:r>
      <w:r w:rsidRPr="00033BEA">
        <w:rPr>
          <w:rFonts w:eastAsia="Times New Roman" w:cs="Calibri"/>
          <w:i/>
          <w:sz w:val="24"/>
          <w:szCs w:val="24"/>
        </w:rPr>
        <w:t xml:space="preserve"> </w:t>
      </w:r>
      <w:r w:rsidRPr="00033BEA">
        <w:rPr>
          <w:rFonts w:eastAsia="Times New Roman" w:cs="Calibri"/>
          <w:sz w:val="24"/>
          <w:szCs w:val="24"/>
        </w:rPr>
        <w:t>experiment was conducted in two treatments in 2019 at Bahir Dar Fishery and Other Aquatic Life Research Center.</w:t>
      </w:r>
      <w:r w:rsidRPr="00033BEA">
        <w:rPr>
          <w:rFonts w:eastAsia="Times New Roman" w:cs="Calibri"/>
          <w:i/>
          <w:sz w:val="24"/>
          <w:szCs w:val="24"/>
        </w:rPr>
        <w:t xml:space="preserve"> </w:t>
      </w:r>
      <w:r w:rsidRPr="00033BEA">
        <w:rPr>
          <w:rFonts w:eastAsia="Times New Roman" w:cs="Calibri"/>
          <w:sz w:val="24"/>
          <w:szCs w:val="24"/>
        </w:rPr>
        <w:t>Treatment</w:t>
      </w:r>
      <w:r w:rsidRPr="00033BEA">
        <w:rPr>
          <w:rFonts w:eastAsia="Times New Roman" w:cs="Calibri"/>
          <w:bCs/>
          <w:sz w:val="24"/>
          <w:szCs w:val="24"/>
        </w:rPr>
        <w:t xml:space="preserve"> 1: </w:t>
      </w:r>
      <w:r w:rsidRPr="00033BEA">
        <w:rPr>
          <w:rFonts w:eastAsia="Times New Roman" w:cs="Calibri"/>
          <w:i/>
          <w:sz w:val="24"/>
          <w:szCs w:val="24"/>
        </w:rPr>
        <w:t>Scenedesmus</w:t>
      </w:r>
      <w:r w:rsidRPr="00033BEA">
        <w:rPr>
          <w:rFonts w:eastAsia="Times New Roman" w:cs="Calibri"/>
          <w:sz w:val="24"/>
          <w:szCs w:val="24"/>
        </w:rPr>
        <w:t xml:space="preserve"> spp. were cultured using </w:t>
      </w:r>
      <w:r w:rsidRPr="00033BEA">
        <w:rPr>
          <w:rFonts w:eastAsia="Times New Roman" w:cs="Calibri"/>
          <w:bCs/>
          <w:sz w:val="24"/>
          <w:szCs w:val="24"/>
        </w:rPr>
        <w:t xml:space="preserve">Guillard’s F/2 media whereas treatment 2: they were cultured using 0.1 g/L NPSZn fertilizer. </w:t>
      </w:r>
      <w:r w:rsidRPr="00033BEA">
        <w:rPr>
          <w:rFonts w:eastAsia="Times New Roman" w:cs="Calibri"/>
          <w:sz w:val="24"/>
          <w:szCs w:val="24"/>
        </w:rPr>
        <w:t xml:space="preserve"> The</w:t>
      </w:r>
      <w:r w:rsidRPr="00033BEA">
        <w:rPr>
          <w:rFonts w:eastAsia="Times New Roman" w:cs="Calibri"/>
          <w:i/>
          <w:sz w:val="24"/>
          <w:szCs w:val="24"/>
        </w:rPr>
        <w:t xml:space="preserve"> Scenedesmus</w:t>
      </w:r>
      <w:r w:rsidRPr="00033BEA">
        <w:rPr>
          <w:rFonts w:eastAsia="Times New Roman" w:cs="Calibri"/>
          <w:sz w:val="24"/>
          <w:szCs w:val="24"/>
        </w:rPr>
        <w:t xml:space="preserve"> sp.</w:t>
      </w:r>
      <w:r w:rsidRPr="00033BEA">
        <w:rPr>
          <w:rFonts w:eastAsia="Times New Roman" w:cs="Calibri"/>
          <w:bCs/>
          <w:sz w:val="24"/>
          <w:szCs w:val="24"/>
        </w:rPr>
        <w:t xml:space="preserve"> were selected by continuous trials based on</w:t>
      </w:r>
      <w:r w:rsidRPr="00033BEA">
        <w:rPr>
          <w:rFonts w:eastAsia="Times New Roman" w:cs="Calibri"/>
          <w:iCs/>
          <w:sz w:val="24"/>
          <w:szCs w:val="24"/>
        </w:rPr>
        <w:t xml:space="preserve"> algal culturing </w:t>
      </w:r>
      <w:r w:rsidRPr="00033BEA">
        <w:rPr>
          <w:rFonts w:eastAsia="Times New Roman" w:cs="Calibri"/>
          <w:iCs/>
          <w:sz w:val="24"/>
          <w:szCs w:val="24"/>
        </w:rPr>
        <w:t>techniques</w:t>
      </w:r>
      <w:r w:rsidRPr="00033BEA">
        <w:rPr>
          <w:rFonts w:eastAsia="Times New Roman" w:cs="Calibri"/>
          <w:bCs/>
          <w:sz w:val="24"/>
          <w:szCs w:val="24"/>
        </w:rPr>
        <w:t xml:space="preserve"> (</w:t>
      </w:r>
      <w:r w:rsidRPr="00033BEA">
        <w:rPr>
          <w:rFonts w:eastAsia="Times New Roman" w:cs="Calibri"/>
          <w:sz w:val="24"/>
          <w:szCs w:val="24"/>
        </w:rPr>
        <w:t>Anderson 2005</w:t>
      </w:r>
      <w:r w:rsidRPr="00033BEA">
        <w:rPr>
          <w:rFonts w:eastAsia="Times New Roman" w:cs="Calibri"/>
          <w:bCs/>
          <w:sz w:val="24"/>
          <w:szCs w:val="24"/>
        </w:rPr>
        <w:t>). The lake water was sterilized with the 'double boil' technique by boil at 120 °C and cool at room temperature (</w:t>
      </w:r>
      <w:r w:rsidRPr="00033BEA">
        <w:rPr>
          <w:rFonts w:eastAsia="Times New Roman" w:cs="Calibri"/>
          <w:sz w:val="24"/>
          <w:szCs w:val="24"/>
        </w:rPr>
        <w:t>Guillard 1975)</w:t>
      </w:r>
      <w:r w:rsidRPr="00033BEA">
        <w:rPr>
          <w:rFonts w:eastAsia="Times New Roman" w:cs="Calibri"/>
          <w:bCs/>
          <w:sz w:val="24"/>
          <w:szCs w:val="24"/>
        </w:rPr>
        <w:t xml:space="preserve">. For treatment, 1 </w:t>
      </w:r>
      <w:r w:rsidRPr="00033BEA">
        <w:rPr>
          <w:rFonts w:eastAsia="Times New Roman" w:cs="Calibri"/>
          <w:sz w:val="24"/>
          <w:szCs w:val="24"/>
        </w:rPr>
        <w:t xml:space="preserve">medium was prepared by adding 2 main chemicals (nitrate and phosphate) and 6 trace elements (iron (Fe), sodium (Na), copper (Cu), zinc (Zn), cobalt (Co) and </w:t>
      </w:r>
      <w:r w:rsidRPr="00033BEA">
        <w:rPr>
          <w:rFonts w:eastAsia="Times New Roman" w:cs="Calibri"/>
          <w:bCs/>
          <w:sz w:val="24"/>
          <w:szCs w:val="24"/>
          <w:shd w:val="clear" w:color="auto" w:fill="FFFFFF"/>
        </w:rPr>
        <w:t>manganese (Mn)</w:t>
      </w:r>
      <w:r w:rsidRPr="00033BEA">
        <w:rPr>
          <w:rFonts w:eastAsia="Times New Roman" w:cs="Calibri"/>
          <w:sz w:val="24"/>
          <w:szCs w:val="24"/>
        </w:rPr>
        <w:t>) to distilled water (Table 1). The F / 2 stock was stored in the refrigerator and added to the sterilized lake water. The chemical preparation (Treatment</w:t>
      </w:r>
      <w:r w:rsidRPr="00033BEA">
        <w:rPr>
          <w:rFonts w:eastAsia="Times New Roman" w:cs="Calibri"/>
          <w:bCs/>
          <w:sz w:val="24"/>
          <w:szCs w:val="24"/>
        </w:rPr>
        <w:t xml:space="preserve"> 1)</w:t>
      </w:r>
      <w:r w:rsidRPr="00033BEA">
        <w:rPr>
          <w:rFonts w:eastAsia="Times New Roman" w:cs="Calibri"/>
          <w:sz w:val="24"/>
          <w:szCs w:val="24"/>
        </w:rPr>
        <w:t xml:space="preserve"> was listed below in Table 1 (Guillard 1975 and Anderson 2005).  However, for treatment</w:t>
      </w:r>
      <w:r w:rsidRPr="00033BEA">
        <w:rPr>
          <w:rFonts w:eastAsia="Times New Roman" w:cs="Calibri"/>
          <w:bCs/>
          <w:sz w:val="24"/>
          <w:szCs w:val="24"/>
        </w:rPr>
        <w:t xml:space="preserve"> 2, 0.1 g/L of NPSZn fertilizer</w:t>
      </w:r>
      <w:r w:rsidRPr="00033BEA">
        <w:rPr>
          <w:rFonts w:eastAsia="Times New Roman" w:cs="Calibri"/>
          <w:bCs/>
          <w:iCs/>
          <w:sz w:val="24"/>
          <w:szCs w:val="24"/>
        </w:rPr>
        <w:t xml:space="preserve"> </w:t>
      </w:r>
      <w:r w:rsidRPr="00033BEA">
        <w:rPr>
          <w:rFonts w:eastAsia="Times New Roman" w:cs="Calibri"/>
          <w:bCs/>
          <w:sz w:val="24"/>
          <w:szCs w:val="24"/>
        </w:rPr>
        <w:t xml:space="preserve">medium was used </w:t>
      </w:r>
      <w:r w:rsidRPr="00033BEA">
        <w:rPr>
          <w:rFonts w:eastAsia="Times New Roman" w:cs="Calibri"/>
          <w:bCs/>
          <w:iCs/>
          <w:sz w:val="24"/>
          <w:szCs w:val="24"/>
        </w:rPr>
        <w:t>(</w:t>
      </w:r>
      <w:r w:rsidRPr="00033BEA">
        <w:rPr>
          <w:rFonts w:eastAsia="Times New Roman" w:cs="Calibri"/>
          <w:sz w:val="24"/>
          <w:szCs w:val="24"/>
        </w:rPr>
        <w:t>Guillard 1975</w:t>
      </w:r>
      <w:r w:rsidRPr="00033BEA">
        <w:rPr>
          <w:rFonts w:eastAsia="Times New Roman" w:cs="Calibri"/>
          <w:bCs/>
          <w:iCs/>
          <w:sz w:val="24"/>
          <w:szCs w:val="24"/>
        </w:rPr>
        <w:t>; Goswami 2011)</w:t>
      </w:r>
      <w:r w:rsidRPr="00033BEA">
        <w:rPr>
          <w:rFonts w:eastAsia="Times New Roman" w:cs="Calibri"/>
          <w:bCs/>
          <w:sz w:val="24"/>
          <w:szCs w:val="24"/>
        </w:rPr>
        <w:t xml:space="preserve">. </w:t>
      </w:r>
      <w:r w:rsidRPr="00033BEA">
        <w:rPr>
          <w:rFonts w:eastAsia="Times New Roman" w:cs="Calibri"/>
          <w:sz w:val="24"/>
          <w:szCs w:val="24"/>
        </w:rPr>
        <w:t xml:space="preserve">The </w:t>
      </w:r>
      <w:r w:rsidRPr="00033BEA">
        <w:rPr>
          <w:rFonts w:eastAsia="Times New Roman" w:cs="Calibri"/>
          <w:i/>
          <w:iCs/>
          <w:sz w:val="24"/>
          <w:szCs w:val="24"/>
        </w:rPr>
        <w:t>Scenedesmus</w:t>
      </w:r>
      <w:r w:rsidRPr="00033BEA">
        <w:rPr>
          <w:rFonts w:eastAsia="Times New Roman" w:cs="Calibri"/>
          <w:sz w:val="24"/>
          <w:szCs w:val="24"/>
        </w:rPr>
        <w:t xml:space="preserve"> sp.</w:t>
      </w:r>
      <w:r w:rsidRPr="00033BEA">
        <w:rPr>
          <w:rFonts w:eastAsia="Times New Roman" w:cs="Calibri"/>
          <w:b/>
          <w:sz w:val="24"/>
          <w:szCs w:val="24"/>
        </w:rPr>
        <w:t xml:space="preserve"> </w:t>
      </w:r>
      <w:r w:rsidRPr="00033BEA">
        <w:rPr>
          <w:rFonts w:eastAsia="Times New Roman" w:cs="Calibri"/>
          <w:sz w:val="24"/>
          <w:szCs w:val="24"/>
        </w:rPr>
        <w:t>was inoculated at 10% of the receiving volume</w:t>
      </w:r>
      <w:r w:rsidRPr="00033BEA">
        <w:rPr>
          <w:rFonts w:eastAsia="Times New Roman" w:cs="Calibri"/>
          <w:bCs/>
          <w:sz w:val="24"/>
          <w:szCs w:val="24"/>
        </w:rPr>
        <w:t xml:space="preserve"> (Guillard 1975)</w:t>
      </w:r>
      <w:r w:rsidRPr="00033BEA">
        <w:rPr>
          <w:rFonts w:eastAsia="Times New Roman" w:cs="Calibri"/>
          <w:sz w:val="24"/>
          <w:szCs w:val="24"/>
        </w:rPr>
        <w:t>.</w:t>
      </w:r>
    </w:p>
    <w:p w14:paraId="57DEB090" w14:textId="77777777" w:rsidR="00501CFE" w:rsidRDefault="00501CFE" w:rsidP="00501CFE">
      <w:pPr>
        <w:rPr>
          <w:rFonts w:eastAsia="Times New Roman" w:cs="Calibri"/>
          <w:b/>
          <w:bCs/>
          <w:sz w:val="24"/>
          <w:szCs w:val="24"/>
        </w:rPr>
        <w:sectPr w:rsidR="00501CFE" w:rsidSect="00501CFE">
          <w:type w:val="continuous"/>
          <w:pgSz w:w="11907" w:h="16839" w:code="9"/>
          <w:pgMar w:top="1440" w:right="1440" w:bottom="1440" w:left="1440" w:header="720" w:footer="720" w:gutter="0"/>
          <w:cols w:num="2" w:space="720"/>
          <w:docGrid w:linePitch="360"/>
        </w:sectPr>
      </w:pPr>
    </w:p>
    <w:p w14:paraId="6BE04BBD" w14:textId="20F45146" w:rsidR="00501CFE" w:rsidRPr="00033BEA" w:rsidRDefault="00501CFE" w:rsidP="00501CFE">
      <w:pPr>
        <w:rPr>
          <w:rFonts w:eastAsia="Times New Roman" w:cs="Calibri"/>
          <w:b/>
          <w:bCs/>
          <w:sz w:val="24"/>
          <w:szCs w:val="24"/>
        </w:rPr>
      </w:pPr>
    </w:p>
    <w:p w14:paraId="16C682BB" w14:textId="77777777" w:rsidR="00501CFE" w:rsidRPr="00033BEA" w:rsidRDefault="00501CFE" w:rsidP="00501CFE">
      <w:pPr>
        <w:rPr>
          <w:rFonts w:eastAsia="Times New Roman" w:cs="Calibri"/>
          <w:sz w:val="24"/>
          <w:szCs w:val="24"/>
        </w:rPr>
      </w:pPr>
      <w:r w:rsidRPr="00033BEA">
        <w:rPr>
          <w:rFonts w:eastAsia="Times New Roman" w:cs="Calibri"/>
          <w:sz w:val="24"/>
          <w:szCs w:val="24"/>
        </w:rPr>
        <w:t>Table 1:</w:t>
      </w:r>
      <w:r w:rsidRPr="00033BEA">
        <w:rPr>
          <w:rFonts w:eastAsia="Times New Roman" w:cs="Calibri"/>
          <w:b/>
          <w:bCs/>
          <w:sz w:val="24"/>
          <w:szCs w:val="24"/>
        </w:rPr>
        <w:t xml:space="preserve"> </w:t>
      </w:r>
      <w:r w:rsidRPr="00033BEA">
        <w:rPr>
          <w:rFonts w:eastAsia="Times New Roman" w:cs="Calibri"/>
          <w:sz w:val="24"/>
          <w:szCs w:val="24"/>
        </w:rPr>
        <w:t>Constituents of Guillard’s F/2 media for culturing</w:t>
      </w:r>
      <w:r w:rsidRPr="00033BEA">
        <w:rPr>
          <w:rFonts w:eastAsia="Times New Roman" w:cs="Calibri"/>
          <w:b/>
          <w:bCs/>
          <w:sz w:val="24"/>
          <w:szCs w:val="24"/>
        </w:rPr>
        <w:t xml:space="preserve"> </w:t>
      </w:r>
      <w:r w:rsidRPr="00033BEA">
        <w:rPr>
          <w:rFonts w:eastAsia="Times New Roman" w:cs="Calibri"/>
          <w:sz w:val="24"/>
          <w:szCs w:val="24"/>
        </w:rPr>
        <w:t>Scenedesmus species</w:t>
      </w:r>
      <w:r w:rsidRPr="00033BEA">
        <w:rPr>
          <w:rFonts w:eastAsia="Times New Roman" w:cs="Calibri"/>
          <w:b/>
          <w:bC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60"/>
        <w:gridCol w:w="15"/>
        <w:gridCol w:w="2181"/>
        <w:gridCol w:w="190"/>
        <w:gridCol w:w="3088"/>
      </w:tblGrid>
      <w:tr w:rsidR="00501CFE" w:rsidRPr="00033BEA" w14:paraId="47A3AEDD" w14:textId="77777777" w:rsidTr="00C0606A">
        <w:trPr>
          <w:trHeight w:val="195"/>
        </w:trPr>
        <w:tc>
          <w:tcPr>
            <w:tcW w:w="1949" w:type="dxa"/>
          </w:tcPr>
          <w:p w14:paraId="5891F728" w14:textId="77777777" w:rsidR="00501CFE" w:rsidRPr="00033BEA" w:rsidRDefault="00501CFE" w:rsidP="00C0606A">
            <w:pPr>
              <w:autoSpaceDE w:val="0"/>
              <w:autoSpaceDN w:val="0"/>
              <w:adjustRightInd w:val="0"/>
              <w:spacing w:after="20"/>
              <w:rPr>
                <w:rFonts w:cs="Calibri"/>
                <w:b/>
                <w:sz w:val="24"/>
                <w:szCs w:val="24"/>
              </w:rPr>
            </w:pPr>
            <w:r w:rsidRPr="00033BEA">
              <w:rPr>
                <w:rFonts w:cs="Calibri"/>
                <w:b/>
                <w:bCs/>
                <w:sz w:val="24"/>
                <w:szCs w:val="24"/>
              </w:rPr>
              <w:t xml:space="preserve">Major nutrient </w:t>
            </w:r>
          </w:p>
        </w:tc>
        <w:tc>
          <w:tcPr>
            <w:tcW w:w="2256" w:type="dxa"/>
            <w:gridSpan w:val="3"/>
          </w:tcPr>
          <w:p w14:paraId="72C38E59" w14:textId="77777777" w:rsidR="00501CFE" w:rsidRPr="00033BEA" w:rsidRDefault="00501CFE" w:rsidP="00C0606A">
            <w:pPr>
              <w:autoSpaceDE w:val="0"/>
              <w:autoSpaceDN w:val="0"/>
              <w:adjustRightInd w:val="0"/>
              <w:spacing w:after="20"/>
              <w:rPr>
                <w:rFonts w:cs="Calibri"/>
                <w:b/>
                <w:sz w:val="24"/>
                <w:szCs w:val="24"/>
              </w:rPr>
            </w:pPr>
            <w:r w:rsidRPr="00033BEA">
              <w:rPr>
                <w:rFonts w:cs="Calibri"/>
                <w:b/>
                <w:bCs/>
                <w:sz w:val="24"/>
                <w:szCs w:val="24"/>
              </w:rPr>
              <w:t xml:space="preserve">Chemical formula </w:t>
            </w:r>
          </w:p>
        </w:tc>
        <w:tc>
          <w:tcPr>
            <w:tcW w:w="3278" w:type="dxa"/>
            <w:gridSpan w:val="2"/>
          </w:tcPr>
          <w:p w14:paraId="5338DDD9" w14:textId="77777777" w:rsidR="00501CFE" w:rsidRPr="00033BEA" w:rsidRDefault="00501CFE" w:rsidP="00C0606A">
            <w:pPr>
              <w:autoSpaceDE w:val="0"/>
              <w:autoSpaceDN w:val="0"/>
              <w:adjustRightInd w:val="0"/>
              <w:spacing w:after="20"/>
              <w:rPr>
                <w:rFonts w:cs="Calibri"/>
                <w:b/>
                <w:sz w:val="24"/>
                <w:szCs w:val="24"/>
              </w:rPr>
            </w:pPr>
            <w:r w:rsidRPr="00033BEA">
              <w:rPr>
                <w:rFonts w:cs="Calibri"/>
                <w:b/>
                <w:bCs/>
                <w:sz w:val="24"/>
                <w:szCs w:val="24"/>
              </w:rPr>
              <w:t xml:space="preserve">Concentration (gram/liter) </w:t>
            </w:r>
          </w:p>
        </w:tc>
      </w:tr>
      <w:tr w:rsidR="00501CFE" w:rsidRPr="00033BEA" w14:paraId="5D3A096A" w14:textId="77777777" w:rsidTr="00C0606A">
        <w:trPr>
          <w:trHeight w:val="96"/>
        </w:trPr>
        <w:tc>
          <w:tcPr>
            <w:tcW w:w="1949" w:type="dxa"/>
          </w:tcPr>
          <w:p w14:paraId="6D7836BD"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Nitrate </w:t>
            </w:r>
          </w:p>
        </w:tc>
        <w:tc>
          <w:tcPr>
            <w:tcW w:w="2256" w:type="dxa"/>
            <w:gridSpan w:val="3"/>
          </w:tcPr>
          <w:p w14:paraId="37D8E46D"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NaNO</w:t>
            </w:r>
            <w:r w:rsidRPr="00033BEA">
              <w:rPr>
                <w:rFonts w:cs="Calibri"/>
                <w:sz w:val="24"/>
                <w:szCs w:val="24"/>
                <w:vertAlign w:val="subscript"/>
              </w:rPr>
              <w:t>3</w:t>
            </w:r>
            <w:r w:rsidRPr="00033BEA">
              <w:rPr>
                <w:rFonts w:cs="Calibri"/>
                <w:sz w:val="24"/>
                <w:szCs w:val="24"/>
              </w:rPr>
              <w:t xml:space="preserve"> </w:t>
            </w:r>
          </w:p>
        </w:tc>
        <w:tc>
          <w:tcPr>
            <w:tcW w:w="3278" w:type="dxa"/>
            <w:gridSpan w:val="2"/>
          </w:tcPr>
          <w:p w14:paraId="16BFF581"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75.0 g</w:t>
            </w:r>
          </w:p>
        </w:tc>
      </w:tr>
      <w:tr w:rsidR="00501CFE" w:rsidRPr="00033BEA" w14:paraId="1B78C72C" w14:textId="77777777" w:rsidTr="00C0606A">
        <w:trPr>
          <w:trHeight w:val="116"/>
        </w:trPr>
        <w:tc>
          <w:tcPr>
            <w:tcW w:w="1949" w:type="dxa"/>
          </w:tcPr>
          <w:p w14:paraId="16880027"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Phosphate </w:t>
            </w:r>
          </w:p>
        </w:tc>
        <w:tc>
          <w:tcPr>
            <w:tcW w:w="2256" w:type="dxa"/>
            <w:gridSpan w:val="3"/>
          </w:tcPr>
          <w:p w14:paraId="7A7A8712"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NaH</w:t>
            </w:r>
            <w:r w:rsidRPr="00033BEA">
              <w:rPr>
                <w:rFonts w:cs="Calibri"/>
                <w:sz w:val="24"/>
                <w:szCs w:val="24"/>
                <w:vertAlign w:val="subscript"/>
              </w:rPr>
              <w:t>2</w:t>
            </w:r>
            <w:r w:rsidRPr="00033BEA">
              <w:rPr>
                <w:rFonts w:cs="Calibri"/>
                <w:sz w:val="24"/>
                <w:szCs w:val="24"/>
              </w:rPr>
              <w:t>PO</w:t>
            </w:r>
            <w:r w:rsidRPr="00033BEA">
              <w:rPr>
                <w:rFonts w:cs="Calibri"/>
                <w:sz w:val="24"/>
                <w:szCs w:val="24"/>
                <w:vertAlign w:val="subscript"/>
              </w:rPr>
              <w:t>4</w:t>
            </w:r>
            <w:r w:rsidRPr="00033BEA">
              <w:rPr>
                <w:rFonts w:cs="Calibri"/>
                <w:sz w:val="24"/>
                <w:szCs w:val="24"/>
              </w:rPr>
              <w:t>.H</w:t>
            </w:r>
            <w:r w:rsidRPr="00033BEA">
              <w:rPr>
                <w:rFonts w:cs="Calibri"/>
                <w:sz w:val="24"/>
                <w:szCs w:val="24"/>
                <w:vertAlign w:val="subscript"/>
              </w:rPr>
              <w:t>2</w:t>
            </w:r>
            <w:r w:rsidRPr="00033BEA">
              <w:rPr>
                <w:rFonts w:cs="Calibri"/>
                <w:sz w:val="24"/>
                <w:szCs w:val="24"/>
              </w:rPr>
              <w:t xml:space="preserve">O </w:t>
            </w:r>
          </w:p>
        </w:tc>
        <w:tc>
          <w:tcPr>
            <w:tcW w:w="3278" w:type="dxa"/>
            <w:gridSpan w:val="2"/>
          </w:tcPr>
          <w:p w14:paraId="499CB280"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5.0 g </w:t>
            </w:r>
          </w:p>
        </w:tc>
      </w:tr>
      <w:tr w:rsidR="00501CFE" w:rsidRPr="00033BEA" w14:paraId="05A2CBCA" w14:textId="77777777" w:rsidTr="00C0606A">
        <w:trPr>
          <w:trHeight w:val="99"/>
        </w:trPr>
        <w:tc>
          <w:tcPr>
            <w:tcW w:w="7483" w:type="dxa"/>
            <w:gridSpan w:val="6"/>
          </w:tcPr>
          <w:p w14:paraId="037DA154" w14:textId="77777777" w:rsidR="00501CFE" w:rsidRPr="00033BEA" w:rsidRDefault="00501CFE" w:rsidP="00C0606A">
            <w:pPr>
              <w:autoSpaceDE w:val="0"/>
              <w:autoSpaceDN w:val="0"/>
              <w:adjustRightInd w:val="0"/>
              <w:spacing w:after="20"/>
              <w:rPr>
                <w:rFonts w:cs="Calibri"/>
                <w:b/>
                <w:sz w:val="24"/>
                <w:szCs w:val="24"/>
              </w:rPr>
            </w:pPr>
            <w:r w:rsidRPr="00033BEA">
              <w:rPr>
                <w:rFonts w:cs="Calibri"/>
                <w:b/>
                <w:bCs/>
                <w:sz w:val="24"/>
                <w:szCs w:val="24"/>
              </w:rPr>
              <w:t xml:space="preserve">Trace metals </w:t>
            </w:r>
          </w:p>
        </w:tc>
      </w:tr>
      <w:tr w:rsidR="00501CFE" w:rsidRPr="00033BEA" w14:paraId="0F3ECDAF" w14:textId="77777777" w:rsidTr="00C0606A">
        <w:trPr>
          <w:trHeight w:val="116"/>
        </w:trPr>
        <w:tc>
          <w:tcPr>
            <w:tcW w:w="2009" w:type="dxa"/>
            <w:gridSpan w:val="2"/>
          </w:tcPr>
          <w:p w14:paraId="5170C7AB" w14:textId="77777777" w:rsidR="00501CFE" w:rsidRPr="00033BEA" w:rsidRDefault="00501CFE" w:rsidP="00C0606A">
            <w:pPr>
              <w:autoSpaceDE w:val="0"/>
              <w:autoSpaceDN w:val="0"/>
              <w:adjustRightInd w:val="0"/>
              <w:spacing w:after="20"/>
              <w:rPr>
                <w:rFonts w:cs="Calibri"/>
                <w:sz w:val="24"/>
                <w:szCs w:val="24"/>
              </w:rPr>
            </w:pPr>
          </w:p>
        </w:tc>
        <w:tc>
          <w:tcPr>
            <w:tcW w:w="2196" w:type="dxa"/>
            <w:gridSpan w:val="2"/>
          </w:tcPr>
          <w:p w14:paraId="6EA8C94E"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FeCl</w:t>
            </w:r>
            <w:r w:rsidRPr="00033BEA">
              <w:rPr>
                <w:rFonts w:cs="Calibri"/>
                <w:sz w:val="24"/>
                <w:szCs w:val="24"/>
                <w:vertAlign w:val="subscript"/>
              </w:rPr>
              <w:t>3</w:t>
            </w:r>
            <w:r w:rsidRPr="00033BEA">
              <w:rPr>
                <w:rFonts w:cs="Calibri"/>
                <w:sz w:val="24"/>
                <w:szCs w:val="24"/>
              </w:rPr>
              <w:t>.6H</w:t>
            </w:r>
            <w:r w:rsidRPr="00033BEA">
              <w:rPr>
                <w:rFonts w:cs="Calibri"/>
                <w:sz w:val="24"/>
                <w:szCs w:val="24"/>
                <w:vertAlign w:val="subscript"/>
              </w:rPr>
              <w:t>2</w:t>
            </w:r>
            <w:r w:rsidRPr="00033BEA">
              <w:rPr>
                <w:rFonts w:cs="Calibri"/>
                <w:sz w:val="24"/>
                <w:szCs w:val="24"/>
              </w:rPr>
              <w:t xml:space="preserve">O </w:t>
            </w:r>
          </w:p>
        </w:tc>
        <w:tc>
          <w:tcPr>
            <w:tcW w:w="3278" w:type="dxa"/>
            <w:gridSpan w:val="2"/>
          </w:tcPr>
          <w:p w14:paraId="5C3F9B89"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3.5 g </w:t>
            </w:r>
          </w:p>
        </w:tc>
      </w:tr>
      <w:tr w:rsidR="00501CFE" w:rsidRPr="00033BEA" w14:paraId="58DA8D19" w14:textId="77777777" w:rsidTr="00C0606A">
        <w:trPr>
          <w:trHeight w:val="96"/>
        </w:trPr>
        <w:tc>
          <w:tcPr>
            <w:tcW w:w="2009" w:type="dxa"/>
            <w:gridSpan w:val="2"/>
          </w:tcPr>
          <w:p w14:paraId="7765702A" w14:textId="77777777" w:rsidR="00501CFE" w:rsidRPr="00033BEA" w:rsidRDefault="00501CFE" w:rsidP="00C0606A">
            <w:pPr>
              <w:autoSpaceDE w:val="0"/>
              <w:autoSpaceDN w:val="0"/>
              <w:adjustRightInd w:val="0"/>
              <w:spacing w:after="20"/>
              <w:rPr>
                <w:rFonts w:cs="Calibri"/>
                <w:sz w:val="24"/>
                <w:szCs w:val="24"/>
              </w:rPr>
            </w:pPr>
          </w:p>
        </w:tc>
        <w:tc>
          <w:tcPr>
            <w:tcW w:w="2196" w:type="dxa"/>
            <w:gridSpan w:val="2"/>
          </w:tcPr>
          <w:p w14:paraId="098CE0F0"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Na</w:t>
            </w:r>
            <w:r w:rsidRPr="00033BEA">
              <w:rPr>
                <w:rFonts w:cs="Calibri"/>
                <w:sz w:val="24"/>
                <w:szCs w:val="24"/>
                <w:vertAlign w:val="subscript"/>
              </w:rPr>
              <w:t>2</w:t>
            </w:r>
            <w:r w:rsidRPr="00033BEA">
              <w:rPr>
                <w:rFonts w:cs="Calibri"/>
                <w:sz w:val="24"/>
                <w:szCs w:val="24"/>
              </w:rPr>
              <w:t xml:space="preserve">EDTA </w:t>
            </w:r>
          </w:p>
        </w:tc>
        <w:tc>
          <w:tcPr>
            <w:tcW w:w="3278" w:type="dxa"/>
            <w:gridSpan w:val="2"/>
          </w:tcPr>
          <w:p w14:paraId="7C9E1D64"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4.36 g </w:t>
            </w:r>
          </w:p>
        </w:tc>
      </w:tr>
      <w:tr w:rsidR="00501CFE" w:rsidRPr="00033BEA" w14:paraId="383C939D" w14:textId="77777777" w:rsidTr="00C0606A">
        <w:trPr>
          <w:trHeight w:val="96"/>
        </w:trPr>
        <w:tc>
          <w:tcPr>
            <w:tcW w:w="7483" w:type="dxa"/>
            <w:gridSpan w:val="6"/>
          </w:tcPr>
          <w:p w14:paraId="5363D704"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Dissolved in 900 ml of distilled H</w:t>
            </w:r>
            <w:r w:rsidRPr="00033BEA">
              <w:rPr>
                <w:rFonts w:cs="Calibri"/>
                <w:sz w:val="24"/>
                <w:szCs w:val="24"/>
                <w:vertAlign w:val="subscript"/>
              </w:rPr>
              <w:t>2</w:t>
            </w:r>
            <w:r w:rsidRPr="00033BEA">
              <w:rPr>
                <w:rFonts w:cs="Calibri"/>
                <w:sz w:val="24"/>
                <w:szCs w:val="24"/>
              </w:rPr>
              <w:t>O</w:t>
            </w:r>
          </w:p>
        </w:tc>
      </w:tr>
      <w:tr w:rsidR="00501CFE" w:rsidRPr="00033BEA" w14:paraId="68EA02FF" w14:textId="77777777" w:rsidTr="00C0606A">
        <w:trPr>
          <w:trHeight w:val="96"/>
        </w:trPr>
        <w:tc>
          <w:tcPr>
            <w:tcW w:w="7483" w:type="dxa"/>
            <w:gridSpan w:val="6"/>
          </w:tcPr>
          <w:p w14:paraId="06F7BBBD"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 Then, add 1 ml of each of the following trace metal solutions</w:t>
            </w:r>
          </w:p>
        </w:tc>
      </w:tr>
      <w:tr w:rsidR="00501CFE" w:rsidRPr="00033BEA" w14:paraId="3112288A" w14:textId="77777777" w:rsidTr="00C0606A">
        <w:trPr>
          <w:trHeight w:val="116"/>
        </w:trPr>
        <w:tc>
          <w:tcPr>
            <w:tcW w:w="2024" w:type="dxa"/>
            <w:gridSpan w:val="3"/>
          </w:tcPr>
          <w:p w14:paraId="7481D975" w14:textId="77777777" w:rsidR="00501CFE" w:rsidRPr="00033BEA" w:rsidRDefault="00501CFE" w:rsidP="00C0606A">
            <w:pPr>
              <w:autoSpaceDE w:val="0"/>
              <w:autoSpaceDN w:val="0"/>
              <w:adjustRightInd w:val="0"/>
              <w:spacing w:after="20"/>
              <w:rPr>
                <w:rFonts w:cs="Calibri"/>
                <w:sz w:val="24"/>
                <w:szCs w:val="24"/>
              </w:rPr>
            </w:pPr>
          </w:p>
        </w:tc>
        <w:tc>
          <w:tcPr>
            <w:tcW w:w="2371" w:type="dxa"/>
            <w:gridSpan w:val="2"/>
          </w:tcPr>
          <w:p w14:paraId="34806221"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CuSO</w:t>
            </w:r>
            <w:r w:rsidRPr="00033BEA">
              <w:rPr>
                <w:rFonts w:cs="Calibri"/>
                <w:sz w:val="24"/>
                <w:szCs w:val="24"/>
                <w:vertAlign w:val="subscript"/>
              </w:rPr>
              <w:t>4</w:t>
            </w:r>
            <w:r w:rsidRPr="00033BEA">
              <w:rPr>
                <w:rFonts w:cs="Calibri"/>
                <w:sz w:val="24"/>
                <w:szCs w:val="24"/>
              </w:rPr>
              <w:t>.5H</w:t>
            </w:r>
            <w:r w:rsidRPr="00033BEA">
              <w:rPr>
                <w:rFonts w:cs="Calibri"/>
                <w:sz w:val="24"/>
                <w:szCs w:val="24"/>
                <w:vertAlign w:val="subscript"/>
              </w:rPr>
              <w:t>2</w:t>
            </w:r>
            <w:r w:rsidRPr="00033BEA">
              <w:rPr>
                <w:rFonts w:cs="Calibri"/>
                <w:sz w:val="24"/>
                <w:szCs w:val="24"/>
              </w:rPr>
              <w:t xml:space="preserve">O </w:t>
            </w:r>
          </w:p>
        </w:tc>
        <w:tc>
          <w:tcPr>
            <w:tcW w:w="3088" w:type="dxa"/>
          </w:tcPr>
          <w:p w14:paraId="3C4152CC"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0.98 g/100 ml </w:t>
            </w:r>
          </w:p>
        </w:tc>
      </w:tr>
      <w:tr w:rsidR="00501CFE" w:rsidRPr="00033BEA" w14:paraId="61508808" w14:textId="77777777" w:rsidTr="00C0606A">
        <w:trPr>
          <w:trHeight w:val="116"/>
        </w:trPr>
        <w:tc>
          <w:tcPr>
            <w:tcW w:w="2024" w:type="dxa"/>
            <w:gridSpan w:val="3"/>
          </w:tcPr>
          <w:p w14:paraId="20A9F41A" w14:textId="77777777" w:rsidR="00501CFE" w:rsidRPr="00033BEA" w:rsidRDefault="00501CFE" w:rsidP="00C0606A">
            <w:pPr>
              <w:autoSpaceDE w:val="0"/>
              <w:autoSpaceDN w:val="0"/>
              <w:adjustRightInd w:val="0"/>
              <w:spacing w:after="20"/>
              <w:rPr>
                <w:rFonts w:cs="Calibri"/>
                <w:sz w:val="24"/>
                <w:szCs w:val="24"/>
              </w:rPr>
            </w:pPr>
          </w:p>
        </w:tc>
        <w:tc>
          <w:tcPr>
            <w:tcW w:w="2371" w:type="dxa"/>
            <w:gridSpan w:val="2"/>
          </w:tcPr>
          <w:p w14:paraId="3306453D"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ZnSO</w:t>
            </w:r>
            <w:r w:rsidRPr="00033BEA">
              <w:rPr>
                <w:rFonts w:cs="Calibri"/>
                <w:sz w:val="24"/>
                <w:szCs w:val="24"/>
                <w:vertAlign w:val="subscript"/>
              </w:rPr>
              <w:t>4</w:t>
            </w:r>
            <w:r w:rsidRPr="00033BEA">
              <w:rPr>
                <w:rFonts w:cs="Calibri"/>
                <w:sz w:val="24"/>
                <w:szCs w:val="24"/>
              </w:rPr>
              <w:t>.7H</w:t>
            </w:r>
            <w:r w:rsidRPr="00033BEA">
              <w:rPr>
                <w:rFonts w:cs="Calibri"/>
                <w:sz w:val="24"/>
                <w:szCs w:val="24"/>
                <w:vertAlign w:val="subscript"/>
              </w:rPr>
              <w:t>2</w:t>
            </w:r>
            <w:r w:rsidRPr="00033BEA">
              <w:rPr>
                <w:rFonts w:cs="Calibri"/>
                <w:sz w:val="24"/>
                <w:szCs w:val="24"/>
              </w:rPr>
              <w:t xml:space="preserve">O </w:t>
            </w:r>
          </w:p>
        </w:tc>
        <w:tc>
          <w:tcPr>
            <w:tcW w:w="3088" w:type="dxa"/>
          </w:tcPr>
          <w:p w14:paraId="129B0D0E"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2.20 g/100 ml </w:t>
            </w:r>
          </w:p>
        </w:tc>
      </w:tr>
      <w:tr w:rsidR="00501CFE" w:rsidRPr="00033BEA" w14:paraId="4D8A0C70" w14:textId="77777777" w:rsidTr="00C0606A">
        <w:trPr>
          <w:trHeight w:val="116"/>
        </w:trPr>
        <w:tc>
          <w:tcPr>
            <w:tcW w:w="2024" w:type="dxa"/>
            <w:gridSpan w:val="3"/>
          </w:tcPr>
          <w:p w14:paraId="697F92B7" w14:textId="77777777" w:rsidR="00501CFE" w:rsidRPr="00033BEA" w:rsidRDefault="00501CFE" w:rsidP="00C0606A">
            <w:pPr>
              <w:autoSpaceDE w:val="0"/>
              <w:autoSpaceDN w:val="0"/>
              <w:adjustRightInd w:val="0"/>
              <w:spacing w:after="20"/>
              <w:rPr>
                <w:rFonts w:cs="Calibri"/>
                <w:sz w:val="24"/>
                <w:szCs w:val="24"/>
              </w:rPr>
            </w:pPr>
          </w:p>
        </w:tc>
        <w:tc>
          <w:tcPr>
            <w:tcW w:w="2371" w:type="dxa"/>
            <w:gridSpan w:val="2"/>
          </w:tcPr>
          <w:p w14:paraId="5E2C6154"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CoCl</w:t>
            </w:r>
            <w:r w:rsidRPr="00033BEA">
              <w:rPr>
                <w:rFonts w:cs="Calibri"/>
                <w:sz w:val="24"/>
                <w:szCs w:val="24"/>
                <w:vertAlign w:val="subscript"/>
              </w:rPr>
              <w:t>2</w:t>
            </w:r>
            <w:r w:rsidRPr="00033BEA">
              <w:rPr>
                <w:rFonts w:cs="Calibri"/>
                <w:sz w:val="24"/>
                <w:szCs w:val="24"/>
              </w:rPr>
              <w:t>.6H</w:t>
            </w:r>
            <w:r w:rsidRPr="00033BEA">
              <w:rPr>
                <w:rFonts w:cs="Calibri"/>
                <w:sz w:val="24"/>
                <w:szCs w:val="24"/>
                <w:vertAlign w:val="subscript"/>
              </w:rPr>
              <w:t>2</w:t>
            </w:r>
            <w:r w:rsidRPr="00033BEA">
              <w:rPr>
                <w:rFonts w:cs="Calibri"/>
                <w:sz w:val="24"/>
                <w:szCs w:val="24"/>
              </w:rPr>
              <w:t xml:space="preserve">O </w:t>
            </w:r>
          </w:p>
        </w:tc>
        <w:tc>
          <w:tcPr>
            <w:tcW w:w="3088" w:type="dxa"/>
          </w:tcPr>
          <w:p w14:paraId="679EAE1A"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1.00 g/100 ml </w:t>
            </w:r>
          </w:p>
        </w:tc>
      </w:tr>
      <w:tr w:rsidR="00501CFE" w:rsidRPr="00033BEA" w14:paraId="1569E351" w14:textId="77777777" w:rsidTr="00C0606A">
        <w:trPr>
          <w:trHeight w:val="116"/>
        </w:trPr>
        <w:tc>
          <w:tcPr>
            <w:tcW w:w="2024" w:type="dxa"/>
            <w:gridSpan w:val="3"/>
          </w:tcPr>
          <w:p w14:paraId="440BFB3B" w14:textId="77777777" w:rsidR="00501CFE" w:rsidRPr="00033BEA" w:rsidRDefault="00501CFE" w:rsidP="00C0606A">
            <w:pPr>
              <w:autoSpaceDE w:val="0"/>
              <w:autoSpaceDN w:val="0"/>
              <w:adjustRightInd w:val="0"/>
              <w:spacing w:after="20"/>
              <w:rPr>
                <w:rFonts w:cs="Calibri"/>
                <w:sz w:val="24"/>
                <w:szCs w:val="24"/>
              </w:rPr>
            </w:pPr>
          </w:p>
        </w:tc>
        <w:tc>
          <w:tcPr>
            <w:tcW w:w="2371" w:type="dxa"/>
            <w:gridSpan w:val="2"/>
          </w:tcPr>
          <w:p w14:paraId="1AB1D868"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MnCl</w:t>
            </w:r>
            <w:r w:rsidRPr="00033BEA">
              <w:rPr>
                <w:rFonts w:cs="Calibri"/>
                <w:sz w:val="24"/>
                <w:szCs w:val="24"/>
                <w:vertAlign w:val="subscript"/>
              </w:rPr>
              <w:t>2</w:t>
            </w:r>
            <w:r w:rsidRPr="00033BEA">
              <w:rPr>
                <w:rFonts w:cs="Calibri"/>
                <w:sz w:val="24"/>
                <w:szCs w:val="24"/>
              </w:rPr>
              <w:t>.4H</w:t>
            </w:r>
            <w:r w:rsidRPr="00033BEA">
              <w:rPr>
                <w:rFonts w:cs="Calibri"/>
                <w:sz w:val="24"/>
                <w:szCs w:val="24"/>
                <w:vertAlign w:val="subscript"/>
              </w:rPr>
              <w:t>2</w:t>
            </w:r>
            <w:r w:rsidRPr="00033BEA">
              <w:rPr>
                <w:rFonts w:cs="Calibri"/>
                <w:sz w:val="24"/>
                <w:szCs w:val="24"/>
              </w:rPr>
              <w:t xml:space="preserve">O </w:t>
            </w:r>
          </w:p>
        </w:tc>
        <w:tc>
          <w:tcPr>
            <w:tcW w:w="3088" w:type="dxa"/>
          </w:tcPr>
          <w:p w14:paraId="33C7DCAF"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18.00 g/100 ml </w:t>
            </w:r>
          </w:p>
        </w:tc>
      </w:tr>
      <w:tr w:rsidR="00501CFE" w:rsidRPr="00033BEA" w14:paraId="1E45FEDE" w14:textId="77777777" w:rsidTr="00C0606A">
        <w:trPr>
          <w:trHeight w:val="116"/>
        </w:trPr>
        <w:tc>
          <w:tcPr>
            <w:tcW w:w="2024" w:type="dxa"/>
            <w:gridSpan w:val="3"/>
          </w:tcPr>
          <w:p w14:paraId="1A4267AE" w14:textId="77777777" w:rsidR="00501CFE" w:rsidRPr="00033BEA" w:rsidRDefault="00501CFE" w:rsidP="00C0606A">
            <w:pPr>
              <w:autoSpaceDE w:val="0"/>
              <w:autoSpaceDN w:val="0"/>
              <w:adjustRightInd w:val="0"/>
              <w:spacing w:after="20"/>
              <w:rPr>
                <w:rFonts w:cs="Calibri"/>
                <w:sz w:val="24"/>
                <w:szCs w:val="24"/>
              </w:rPr>
            </w:pPr>
          </w:p>
        </w:tc>
        <w:tc>
          <w:tcPr>
            <w:tcW w:w="2371" w:type="dxa"/>
            <w:gridSpan w:val="2"/>
          </w:tcPr>
          <w:p w14:paraId="00903C1B"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Na</w:t>
            </w:r>
            <w:r w:rsidRPr="00033BEA">
              <w:rPr>
                <w:rFonts w:cs="Calibri"/>
                <w:sz w:val="24"/>
                <w:szCs w:val="24"/>
                <w:vertAlign w:val="subscript"/>
              </w:rPr>
              <w:t>2</w:t>
            </w:r>
            <w:r w:rsidRPr="00033BEA">
              <w:rPr>
                <w:rFonts w:cs="Calibri"/>
                <w:sz w:val="24"/>
                <w:szCs w:val="24"/>
              </w:rPr>
              <w:t>MoO</w:t>
            </w:r>
            <w:r w:rsidRPr="00033BEA">
              <w:rPr>
                <w:rFonts w:cs="Calibri"/>
                <w:sz w:val="24"/>
                <w:szCs w:val="24"/>
                <w:vertAlign w:val="subscript"/>
              </w:rPr>
              <w:t>4</w:t>
            </w:r>
            <w:r w:rsidRPr="00033BEA">
              <w:rPr>
                <w:rFonts w:cs="Calibri"/>
                <w:sz w:val="24"/>
                <w:szCs w:val="24"/>
              </w:rPr>
              <w:t>.2H</w:t>
            </w:r>
            <w:r w:rsidRPr="00033BEA">
              <w:rPr>
                <w:rFonts w:cs="Calibri"/>
                <w:sz w:val="24"/>
                <w:szCs w:val="24"/>
                <w:vertAlign w:val="subscript"/>
              </w:rPr>
              <w:t>2</w:t>
            </w:r>
            <w:r w:rsidRPr="00033BEA">
              <w:rPr>
                <w:rFonts w:cs="Calibri"/>
                <w:sz w:val="24"/>
                <w:szCs w:val="24"/>
              </w:rPr>
              <w:t xml:space="preserve">O </w:t>
            </w:r>
          </w:p>
        </w:tc>
        <w:tc>
          <w:tcPr>
            <w:tcW w:w="3088" w:type="dxa"/>
          </w:tcPr>
          <w:p w14:paraId="385E8CA2"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0.63 g/100 ml </w:t>
            </w:r>
          </w:p>
        </w:tc>
      </w:tr>
    </w:tbl>
    <w:p w14:paraId="7E4F4BAF" w14:textId="77777777" w:rsidR="00501CFE" w:rsidRPr="00033BEA" w:rsidRDefault="00501CFE" w:rsidP="00501CFE">
      <w:pPr>
        <w:widowControl w:val="0"/>
        <w:autoSpaceDE w:val="0"/>
        <w:autoSpaceDN w:val="0"/>
        <w:adjustRightInd w:val="0"/>
        <w:rPr>
          <w:rFonts w:eastAsia="Times New Roman" w:cs="Calibri"/>
          <w:bCs/>
          <w:sz w:val="24"/>
          <w:szCs w:val="24"/>
        </w:rPr>
      </w:pPr>
      <w:r w:rsidRPr="00033BEA">
        <w:rPr>
          <w:rFonts w:eastAsia="Times New Roman" w:cs="Calibri"/>
          <w:bCs/>
          <w:sz w:val="24"/>
          <w:szCs w:val="24"/>
        </w:rPr>
        <w:t xml:space="preserve">  </w:t>
      </w:r>
    </w:p>
    <w:p w14:paraId="48C7CECE" w14:textId="77777777" w:rsidR="00501CFE" w:rsidRDefault="00501CFE" w:rsidP="00501CFE">
      <w:pPr>
        <w:widowControl w:val="0"/>
        <w:autoSpaceDE w:val="0"/>
        <w:autoSpaceDN w:val="0"/>
        <w:adjustRightInd w:val="0"/>
        <w:rPr>
          <w:rFonts w:eastAsia="Times New Roman" w:cs="Calibri"/>
          <w:bCs/>
          <w:sz w:val="24"/>
          <w:szCs w:val="24"/>
        </w:rPr>
        <w:sectPr w:rsidR="00501CFE" w:rsidSect="00501CFE">
          <w:type w:val="continuous"/>
          <w:pgSz w:w="11907" w:h="16839" w:code="9"/>
          <w:pgMar w:top="1440" w:right="1440" w:bottom="1440" w:left="1440" w:header="720" w:footer="720" w:gutter="0"/>
          <w:cols w:space="720"/>
          <w:docGrid w:linePitch="360"/>
        </w:sectPr>
      </w:pPr>
    </w:p>
    <w:p w14:paraId="43176BE4" w14:textId="15285EC1" w:rsidR="00501CFE" w:rsidRPr="00033BEA" w:rsidRDefault="00501CFE" w:rsidP="00501CFE">
      <w:pPr>
        <w:widowControl w:val="0"/>
        <w:autoSpaceDE w:val="0"/>
        <w:autoSpaceDN w:val="0"/>
        <w:adjustRightInd w:val="0"/>
        <w:rPr>
          <w:rFonts w:eastAsia="Times New Roman" w:cs="Calibri"/>
          <w:b/>
          <w:bCs/>
          <w:sz w:val="24"/>
          <w:szCs w:val="24"/>
        </w:rPr>
      </w:pPr>
      <w:r w:rsidRPr="00033BEA">
        <w:rPr>
          <w:rFonts w:eastAsia="Times New Roman" w:cs="Calibri"/>
          <w:bCs/>
          <w:sz w:val="24"/>
          <w:szCs w:val="24"/>
        </w:rPr>
        <w:t xml:space="preserve">The algae culture was maintained in 1 liter of plastic bottles at 25 </w:t>
      </w:r>
      <w:r w:rsidRPr="00033BEA">
        <w:rPr>
          <w:rFonts w:eastAsia="MS Mincho" w:cs="Calibri"/>
          <w:bCs/>
          <w:sz w:val="24"/>
          <w:szCs w:val="24"/>
        </w:rPr>
        <w:t>°C</w:t>
      </w:r>
      <w:r w:rsidRPr="00033BEA">
        <w:rPr>
          <w:rFonts w:eastAsia="Times New Roman" w:cs="Calibri"/>
          <w:bCs/>
          <w:sz w:val="24"/>
          <w:szCs w:val="24"/>
        </w:rPr>
        <w:t xml:space="preserve"> by providing electric light. The culture was air-supplied from the atmosphere using an air pump (230 V, 20 W and capacity 1500LPH) through a vinyl tube (4 mm) through the drilled hole of the cap, and the other hole with a glass tube allowed the gas to pass into the culture bottle when excess and to make a positive pressure inside the bottle. The light was supplied by two horizontals 'cool white' 36 W florescent lamps. The </w:t>
      </w:r>
      <w:r w:rsidRPr="00033BEA">
        <w:rPr>
          <w:rFonts w:eastAsia="Times New Roman" w:cs="Calibri"/>
          <w:bCs/>
          <w:sz w:val="24"/>
          <w:szCs w:val="24"/>
        </w:rPr>
        <w:t>algae were culture for one week (7 days) after this weekly 2/3 of the culture water was removed and replaced by sterilized and filtered lake water to maintain the culture at optimum growth of algae at exponential phase (</w:t>
      </w:r>
      <w:r w:rsidRPr="00033BEA">
        <w:rPr>
          <w:rFonts w:eastAsia="Times New Roman" w:cs="Calibri"/>
          <w:sz w:val="24"/>
          <w:szCs w:val="24"/>
        </w:rPr>
        <w:t>Guillard 1975; Anderson 2005</w:t>
      </w:r>
      <w:r w:rsidRPr="00033BEA">
        <w:rPr>
          <w:rFonts w:eastAsia="Times New Roman" w:cs="Calibri"/>
          <w:bCs/>
          <w:sz w:val="24"/>
          <w:szCs w:val="24"/>
        </w:rPr>
        <w:t xml:space="preserve">). The cell density of algae collected from different cultured bottles was estimated </w:t>
      </w:r>
      <w:r w:rsidRPr="00033BEA">
        <w:rPr>
          <w:rFonts w:eastAsia="Times New Roman" w:cs="Calibri"/>
          <w:sz w:val="24"/>
          <w:szCs w:val="24"/>
        </w:rPr>
        <w:t>twice a week</w:t>
      </w:r>
      <w:r w:rsidRPr="00033BEA">
        <w:rPr>
          <w:rFonts w:eastAsia="Times New Roman" w:cs="Calibri"/>
          <w:bCs/>
          <w:sz w:val="24"/>
          <w:szCs w:val="24"/>
        </w:rPr>
        <w:t xml:space="preserve"> using an improved neubauer haemocytometer (model No. BS748, depth 0.1mm, 1/400mm</w:t>
      </w:r>
      <w:r w:rsidRPr="00033BEA">
        <w:rPr>
          <w:rFonts w:eastAsia="Times New Roman" w:cs="Calibri"/>
          <w:bCs/>
          <w:sz w:val="24"/>
          <w:szCs w:val="24"/>
          <w:vertAlign w:val="superscript"/>
        </w:rPr>
        <w:t>2</w:t>
      </w:r>
      <w:r w:rsidRPr="00033BEA">
        <w:rPr>
          <w:rFonts w:eastAsia="Times New Roman" w:cs="Calibri"/>
          <w:bCs/>
          <w:sz w:val="24"/>
          <w:szCs w:val="24"/>
        </w:rPr>
        <w:t xml:space="preserve">) as described by Rahman </w:t>
      </w:r>
      <w:r w:rsidRPr="00033BEA">
        <w:rPr>
          <w:rFonts w:eastAsia="Times New Roman" w:cs="Calibri"/>
          <w:bCs/>
          <w:sz w:val="24"/>
          <w:szCs w:val="24"/>
        </w:rPr>
        <w:lastRenderedPageBreak/>
        <w:t>(1992). The total biomass of algae (chlorophyll-</w:t>
      </w:r>
      <w:r w:rsidRPr="00033BEA">
        <w:rPr>
          <w:rFonts w:eastAsia="Times New Roman" w:cs="Calibri"/>
          <w:bCs/>
          <w:i/>
          <w:iCs/>
          <w:sz w:val="24"/>
          <w:szCs w:val="24"/>
        </w:rPr>
        <w:t>a</w:t>
      </w:r>
      <w:r w:rsidRPr="00033BEA">
        <w:rPr>
          <w:rFonts w:eastAsia="Times New Roman" w:cs="Calibri"/>
          <w:bCs/>
          <w:sz w:val="24"/>
          <w:szCs w:val="24"/>
        </w:rPr>
        <w:t xml:space="preserve">) was measured by using handheld TURNER fluorometer (TURNER). </w:t>
      </w:r>
    </w:p>
    <w:p w14:paraId="7492D248" w14:textId="77777777" w:rsidR="00501CFE" w:rsidRPr="00033BEA" w:rsidRDefault="00501CFE" w:rsidP="00501CFE">
      <w:pPr>
        <w:widowControl w:val="0"/>
        <w:autoSpaceDE w:val="0"/>
        <w:autoSpaceDN w:val="0"/>
        <w:adjustRightInd w:val="0"/>
        <w:rPr>
          <w:rFonts w:eastAsia="Times New Roman" w:cs="Calibri"/>
          <w:b/>
          <w:bCs/>
          <w:sz w:val="24"/>
          <w:szCs w:val="24"/>
        </w:rPr>
      </w:pPr>
    </w:p>
    <w:p w14:paraId="3F9A06CC" w14:textId="77777777" w:rsidR="00501CFE" w:rsidRPr="00033BEA" w:rsidRDefault="00501CFE" w:rsidP="00501CFE">
      <w:pPr>
        <w:widowControl w:val="0"/>
        <w:autoSpaceDE w:val="0"/>
        <w:autoSpaceDN w:val="0"/>
        <w:adjustRightInd w:val="0"/>
        <w:rPr>
          <w:rFonts w:eastAsia="Times New Roman" w:cs="Calibri"/>
          <w:b/>
          <w:bCs/>
          <w:sz w:val="24"/>
          <w:szCs w:val="24"/>
        </w:rPr>
      </w:pPr>
      <w:r w:rsidRPr="00033BEA">
        <w:rPr>
          <w:rFonts w:eastAsia="Times New Roman" w:cs="Calibri"/>
          <w:b/>
          <w:bCs/>
          <w:sz w:val="24"/>
          <w:szCs w:val="24"/>
        </w:rPr>
        <w:t xml:space="preserve">Phase </w:t>
      </w:r>
      <w:r w:rsidRPr="00033BEA">
        <w:rPr>
          <w:rFonts w:eastAsia="Times New Roman" w:cs="Calibri"/>
          <w:b/>
          <w:sz w:val="24"/>
          <w:szCs w:val="24"/>
        </w:rPr>
        <w:t>II</w:t>
      </w:r>
      <w:r w:rsidRPr="00033BEA">
        <w:rPr>
          <w:rFonts w:eastAsia="Times New Roman" w:cs="Calibri"/>
          <w:b/>
          <w:bCs/>
          <w:sz w:val="24"/>
          <w:szCs w:val="24"/>
        </w:rPr>
        <w:t xml:space="preserve">: Culture of </w:t>
      </w:r>
      <w:r w:rsidRPr="00033BEA">
        <w:rPr>
          <w:rFonts w:eastAsia="Times New Roman" w:cs="Calibri"/>
          <w:b/>
          <w:bCs/>
          <w:i/>
          <w:sz w:val="24"/>
          <w:szCs w:val="24"/>
        </w:rPr>
        <w:t>Daphnia</w:t>
      </w:r>
      <w:r w:rsidRPr="00033BEA">
        <w:rPr>
          <w:rFonts w:eastAsia="Times New Roman" w:cs="Calibri"/>
          <w:b/>
          <w:i/>
          <w:sz w:val="24"/>
          <w:szCs w:val="24"/>
        </w:rPr>
        <w:t xml:space="preserve"> magna </w:t>
      </w:r>
    </w:p>
    <w:p w14:paraId="13039681"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bCs/>
          <w:sz w:val="24"/>
          <w:szCs w:val="24"/>
        </w:rPr>
        <w:t>The</w:t>
      </w:r>
      <w:r w:rsidRPr="00033BEA">
        <w:rPr>
          <w:rFonts w:eastAsia="Times New Roman" w:cs="Calibri"/>
          <w:bCs/>
          <w:i/>
          <w:sz w:val="24"/>
          <w:szCs w:val="24"/>
        </w:rPr>
        <w:t xml:space="preserve"> D. magna</w:t>
      </w:r>
      <w:r w:rsidRPr="00033BEA">
        <w:rPr>
          <w:rFonts w:eastAsia="Times New Roman" w:cs="Calibri"/>
          <w:bCs/>
          <w:sz w:val="24"/>
          <w:szCs w:val="24"/>
        </w:rPr>
        <w:t xml:space="preserve"> was collected from Lake Hayke in 2017 because this specie isn’t found in Lake Tana, and it was introduced to the laboratory stock culture after two days. The production of</w:t>
      </w:r>
      <w:r w:rsidRPr="00033BEA">
        <w:rPr>
          <w:rFonts w:eastAsia="Times New Roman" w:cs="Calibri"/>
          <w:bCs/>
          <w:i/>
          <w:sz w:val="24"/>
          <w:szCs w:val="24"/>
        </w:rPr>
        <w:t xml:space="preserve"> D.</w:t>
      </w:r>
      <w:r w:rsidRPr="00033BEA">
        <w:rPr>
          <w:rFonts w:eastAsia="Times New Roman" w:cs="Calibri"/>
          <w:i/>
          <w:sz w:val="24"/>
          <w:szCs w:val="24"/>
        </w:rPr>
        <w:t xml:space="preserve"> magna</w:t>
      </w:r>
      <w:r w:rsidRPr="00033BEA">
        <w:rPr>
          <w:rFonts w:eastAsia="Times New Roman" w:cs="Calibri"/>
          <w:bCs/>
          <w:sz w:val="24"/>
          <w:szCs w:val="24"/>
        </w:rPr>
        <w:t xml:space="preserve"> was carried out with two experiments. For t</w:t>
      </w:r>
      <w:r w:rsidRPr="00033BEA">
        <w:rPr>
          <w:rFonts w:eastAsia="Times New Roman" w:cs="Calibri"/>
          <w:sz w:val="24"/>
          <w:szCs w:val="24"/>
        </w:rPr>
        <w:t>reatment</w:t>
      </w:r>
      <w:r w:rsidRPr="00033BEA">
        <w:rPr>
          <w:rFonts w:eastAsia="Times New Roman" w:cs="Calibri"/>
          <w:bCs/>
          <w:sz w:val="24"/>
          <w:szCs w:val="24"/>
        </w:rPr>
        <w:t xml:space="preserve"> 1: Cultured </w:t>
      </w:r>
      <w:bookmarkStart w:id="2" w:name="_Hlk101633254"/>
      <w:r w:rsidRPr="00033BEA">
        <w:rPr>
          <w:rFonts w:eastAsia="Times New Roman" w:cs="Calibri"/>
          <w:bCs/>
          <w:i/>
          <w:sz w:val="24"/>
          <w:szCs w:val="24"/>
        </w:rPr>
        <w:t>D.</w:t>
      </w:r>
      <w:r w:rsidRPr="00033BEA">
        <w:rPr>
          <w:rFonts w:eastAsia="Times New Roman" w:cs="Calibri"/>
          <w:i/>
          <w:sz w:val="24"/>
          <w:szCs w:val="24"/>
        </w:rPr>
        <w:t xml:space="preserve"> magna </w:t>
      </w:r>
      <w:bookmarkEnd w:id="2"/>
      <w:r w:rsidRPr="00033BEA">
        <w:rPr>
          <w:rFonts w:eastAsia="Times New Roman" w:cs="Calibri"/>
          <w:iCs/>
          <w:sz w:val="24"/>
          <w:szCs w:val="24"/>
        </w:rPr>
        <w:t>was</w:t>
      </w:r>
      <w:r w:rsidRPr="00033BEA">
        <w:rPr>
          <w:rFonts w:eastAsia="Times New Roman" w:cs="Calibri"/>
          <w:i/>
          <w:sz w:val="24"/>
          <w:szCs w:val="24"/>
        </w:rPr>
        <w:t xml:space="preserve"> </w:t>
      </w:r>
      <w:r w:rsidRPr="00033BEA">
        <w:rPr>
          <w:rFonts w:eastAsia="Times New Roman" w:cs="Calibri"/>
          <w:sz w:val="24"/>
          <w:szCs w:val="24"/>
        </w:rPr>
        <w:t xml:space="preserve">fed the cultured </w:t>
      </w:r>
      <w:bookmarkStart w:id="3" w:name="_Hlk101764388"/>
      <w:r w:rsidRPr="00033BEA">
        <w:rPr>
          <w:rFonts w:eastAsia="Times New Roman" w:cs="Calibri"/>
          <w:i/>
          <w:sz w:val="24"/>
          <w:szCs w:val="24"/>
        </w:rPr>
        <w:t>Scenedesmus</w:t>
      </w:r>
      <w:r w:rsidRPr="00033BEA">
        <w:rPr>
          <w:rFonts w:eastAsia="Times New Roman" w:cs="Calibri"/>
          <w:sz w:val="24"/>
          <w:szCs w:val="24"/>
        </w:rPr>
        <w:t xml:space="preserve"> species </w:t>
      </w:r>
      <w:bookmarkEnd w:id="3"/>
      <w:r w:rsidRPr="00033BEA">
        <w:rPr>
          <w:rFonts w:eastAsia="Times New Roman" w:cs="Calibri"/>
          <w:sz w:val="24"/>
          <w:szCs w:val="24"/>
        </w:rPr>
        <w:t>of, while</w:t>
      </w:r>
      <w:r w:rsidRPr="00033BEA">
        <w:rPr>
          <w:rFonts w:eastAsia="Times New Roman" w:cs="Calibri"/>
          <w:bCs/>
          <w:sz w:val="24"/>
          <w:szCs w:val="24"/>
        </w:rPr>
        <w:t xml:space="preserve"> for t</w:t>
      </w:r>
      <w:r w:rsidRPr="00033BEA">
        <w:rPr>
          <w:rFonts w:eastAsia="Times New Roman" w:cs="Calibri"/>
          <w:sz w:val="24"/>
          <w:szCs w:val="24"/>
        </w:rPr>
        <w:t>reatment</w:t>
      </w:r>
      <w:r w:rsidRPr="00033BEA">
        <w:rPr>
          <w:rFonts w:eastAsia="Times New Roman" w:cs="Calibri"/>
          <w:bCs/>
          <w:sz w:val="24"/>
          <w:szCs w:val="24"/>
        </w:rPr>
        <w:t xml:space="preserve"> 2: </w:t>
      </w:r>
      <w:bookmarkStart w:id="4" w:name="_Hlk101633241"/>
      <w:r w:rsidRPr="00033BEA">
        <w:rPr>
          <w:rFonts w:eastAsia="Times New Roman" w:cs="Calibri"/>
          <w:bCs/>
          <w:i/>
          <w:sz w:val="24"/>
          <w:szCs w:val="24"/>
        </w:rPr>
        <w:t>D.</w:t>
      </w:r>
      <w:r w:rsidRPr="00033BEA">
        <w:rPr>
          <w:rFonts w:eastAsia="Times New Roman" w:cs="Calibri"/>
          <w:i/>
          <w:sz w:val="24"/>
          <w:szCs w:val="24"/>
        </w:rPr>
        <w:t xml:space="preserve"> magna</w:t>
      </w:r>
      <w:bookmarkEnd w:id="4"/>
      <w:r w:rsidRPr="00033BEA">
        <w:rPr>
          <w:rFonts w:eastAsia="Times New Roman" w:cs="Calibri"/>
          <w:bCs/>
          <w:sz w:val="24"/>
          <w:szCs w:val="24"/>
        </w:rPr>
        <w:t xml:space="preserve"> was fed with microalgae </w:t>
      </w:r>
      <w:r w:rsidRPr="00033BEA">
        <w:rPr>
          <w:rFonts w:eastAsia="Times New Roman" w:cs="Calibri"/>
          <w:sz w:val="24"/>
          <w:szCs w:val="24"/>
        </w:rPr>
        <w:t>from ponds filtered by a 40 µm size plankton net.</w:t>
      </w:r>
      <w:r w:rsidRPr="00033BEA">
        <w:rPr>
          <w:rFonts w:eastAsia="Times New Roman" w:cs="Calibri"/>
          <w:bCs/>
          <w:sz w:val="24"/>
          <w:szCs w:val="24"/>
        </w:rPr>
        <w:t xml:space="preserve"> The 300 ml plastic vessels were filled with lake water filtered by 40 µm plankton net. </w:t>
      </w:r>
      <w:r w:rsidRPr="00033BEA">
        <w:rPr>
          <w:rFonts w:eastAsia="Times New Roman" w:cs="Calibri"/>
          <w:bCs/>
          <w:i/>
          <w:sz w:val="24"/>
          <w:szCs w:val="24"/>
        </w:rPr>
        <w:t>Daphnia magna</w:t>
      </w:r>
      <w:r w:rsidRPr="00033BEA">
        <w:rPr>
          <w:rFonts w:eastAsia="Times New Roman" w:cs="Calibri"/>
          <w:bCs/>
          <w:sz w:val="24"/>
          <w:szCs w:val="24"/>
        </w:rPr>
        <w:t xml:space="preserve"> was inoculated with the same number (4 individuals) of organisms in four plastic vessels. Atmospheric oxygen was supplied via a vinyl tube using an air pump. T</w:t>
      </w:r>
      <w:r w:rsidRPr="00033BEA">
        <w:rPr>
          <w:rFonts w:eastAsia="Times New Roman" w:cs="Calibri"/>
          <w:sz w:val="24"/>
          <w:szCs w:val="24"/>
        </w:rPr>
        <w:t>reatment</w:t>
      </w:r>
      <w:r w:rsidRPr="00033BEA">
        <w:rPr>
          <w:rFonts w:eastAsia="Times New Roman" w:cs="Calibri"/>
          <w:bCs/>
          <w:sz w:val="24"/>
          <w:szCs w:val="24"/>
        </w:rPr>
        <w:t xml:space="preserve"> 1</w:t>
      </w:r>
      <w:r w:rsidRPr="00033BEA">
        <w:rPr>
          <w:rFonts w:eastAsia="Times New Roman" w:cs="Calibri"/>
          <w:sz w:val="24"/>
          <w:szCs w:val="24"/>
        </w:rPr>
        <w:t xml:space="preserve"> was fed 50 ml freshly cultured algae (that is, </w:t>
      </w:r>
      <w:r w:rsidRPr="00033BEA">
        <w:rPr>
          <w:rFonts w:eastAsia="Times New Roman" w:cs="Calibri"/>
          <w:i/>
          <w:sz w:val="24"/>
          <w:szCs w:val="24"/>
        </w:rPr>
        <w:t>Scenedesmus</w:t>
      </w:r>
      <w:r w:rsidRPr="00033BEA">
        <w:rPr>
          <w:rFonts w:eastAsia="Times New Roman" w:cs="Calibri"/>
          <w:sz w:val="24"/>
          <w:szCs w:val="24"/>
        </w:rPr>
        <w:t xml:space="preserve"> species). Treatment</w:t>
      </w:r>
      <w:r w:rsidRPr="00033BEA">
        <w:rPr>
          <w:rFonts w:eastAsia="Times New Roman" w:cs="Calibri"/>
          <w:bCs/>
          <w:sz w:val="24"/>
          <w:szCs w:val="24"/>
        </w:rPr>
        <w:t xml:space="preserve"> 2</w:t>
      </w:r>
      <w:r w:rsidRPr="00033BEA">
        <w:rPr>
          <w:rFonts w:eastAsia="Times New Roman" w:cs="Calibri"/>
          <w:sz w:val="24"/>
          <w:szCs w:val="24"/>
        </w:rPr>
        <w:t xml:space="preserve"> was fed microalgae filtrate (50 ml) obtained using 40 µm plankton net from ponds in a 300 ml volume of plastic vessel. The cultures were refreshed twice a week (</w:t>
      </w:r>
      <w:r w:rsidRPr="00033BEA">
        <w:rPr>
          <w:rFonts w:eastAsia="Times New Roman" w:cs="Calibri"/>
          <w:bCs/>
          <w:sz w:val="24"/>
          <w:szCs w:val="24"/>
        </w:rPr>
        <w:t>Guillard 1975</w:t>
      </w:r>
      <w:r w:rsidRPr="00033BEA">
        <w:rPr>
          <w:rFonts w:eastAsia="Times New Roman" w:cs="Calibri"/>
          <w:sz w:val="24"/>
          <w:szCs w:val="24"/>
        </w:rPr>
        <w:t xml:space="preserve">; Rottmann </w:t>
      </w:r>
      <w:r w:rsidRPr="00033BEA">
        <w:rPr>
          <w:rFonts w:eastAsia="Times New Roman" w:cs="Calibri"/>
          <w:i/>
          <w:sz w:val="24"/>
          <w:szCs w:val="24"/>
        </w:rPr>
        <w:t>et al</w:t>
      </w:r>
      <w:r w:rsidRPr="00033BEA">
        <w:rPr>
          <w:rFonts w:eastAsia="Times New Roman" w:cs="Calibri"/>
          <w:sz w:val="24"/>
          <w:szCs w:val="24"/>
        </w:rPr>
        <w:t xml:space="preserve"> 2011). Continuous aeration was provided by aerators connected by a narrow vinyl tube. The experiment was subjected to 12-hour light and 12-hour dark conditions. </w:t>
      </w:r>
    </w:p>
    <w:p w14:paraId="0BB196E7" w14:textId="77777777" w:rsidR="00501CFE" w:rsidRPr="00033BEA" w:rsidRDefault="00501CFE" w:rsidP="00501CFE">
      <w:pPr>
        <w:widowControl w:val="0"/>
        <w:autoSpaceDE w:val="0"/>
        <w:autoSpaceDN w:val="0"/>
        <w:rPr>
          <w:rFonts w:eastAsia="Times New Roman" w:cs="Calibri"/>
          <w:sz w:val="24"/>
          <w:szCs w:val="24"/>
        </w:rPr>
      </w:pPr>
    </w:p>
    <w:p w14:paraId="36F6CCB2" w14:textId="77777777" w:rsidR="00501CFE" w:rsidRPr="00033BEA" w:rsidRDefault="00501CFE" w:rsidP="00501CFE">
      <w:pPr>
        <w:widowControl w:val="0"/>
        <w:autoSpaceDE w:val="0"/>
        <w:autoSpaceDN w:val="0"/>
        <w:rPr>
          <w:rFonts w:eastAsia="Times New Roman" w:cs="Calibri"/>
          <w:bCs/>
          <w:sz w:val="24"/>
          <w:szCs w:val="24"/>
        </w:rPr>
      </w:pPr>
      <w:r w:rsidRPr="00033BEA">
        <w:rPr>
          <w:rFonts w:eastAsia="Times New Roman" w:cs="Calibri"/>
          <w:sz w:val="24"/>
          <w:szCs w:val="24"/>
        </w:rPr>
        <w:t>The YSI 556 multi-probe system was used to measure dissolved oxygen (DO), conductivity, pH, temperature, salinity, and total dissolved solids (TDS) for culturing units. Ammonia-nitrogen (NH</w:t>
      </w:r>
      <w:r w:rsidRPr="00033BEA">
        <w:rPr>
          <w:rFonts w:eastAsia="Times New Roman" w:cs="Calibri"/>
          <w:sz w:val="24"/>
          <w:szCs w:val="24"/>
          <w:vertAlign w:val="subscript"/>
        </w:rPr>
        <w:t>3</w:t>
      </w:r>
      <w:r w:rsidRPr="00033BEA">
        <w:rPr>
          <w:rFonts w:eastAsia="Times New Roman" w:cs="Calibri"/>
          <w:sz w:val="24"/>
          <w:szCs w:val="24"/>
        </w:rPr>
        <w:t>) was measured using filtered composite samples by the indophenol method. Nitrate and nitrite-nitrogen (NO</w:t>
      </w:r>
      <w:r w:rsidRPr="00033BEA">
        <w:rPr>
          <w:rFonts w:eastAsia="Times New Roman" w:cs="Calibri"/>
          <w:sz w:val="24"/>
          <w:szCs w:val="24"/>
          <w:vertAlign w:val="subscript"/>
        </w:rPr>
        <w:t>3</w:t>
      </w:r>
      <w:r w:rsidRPr="00033BEA">
        <w:rPr>
          <w:rFonts w:eastAsia="Times New Roman" w:cs="Calibri"/>
          <w:sz w:val="24"/>
          <w:szCs w:val="24"/>
        </w:rPr>
        <w:t xml:space="preserve"> and NO</w:t>
      </w:r>
      <w:r w:rsidRPr="00033BEA">
        <w:rPr>
          <w:rFonts w:eastAsia="Times New Roman" w:cs="Calibri"/>
          <w:sz w:val="24"/>
          <w:szCs w:val="24"/>
          <w:vertAlign w:val="subscript"/>
        </w:rPr>
        <w:t>2</w:t>
      </w:r>
      <w:r w:rsidRPr="00033BEA">
        <w:rPr>
          <w:rFonts w:eastAsia="Times New Roman" w:cs="Calibri"/>
          <w:sz w:val="24"/>
          <w:szCs w:val="24"/>
        </w:rPr>
        <w:t>) were analyzed by the Palintest nitrate test and Palintest Nitricol methods, respectively. Phosphate (PO</w:t>
      </w:r>
      <w:r w:rsidRPr="00033BEA">
        <w:rPr>
          <w:rFonts w:eastAsia="Times New Roman" w:cs="Calibri"/>
          <w:sz w:val="24"/>
          <w:szCs w:val="24"/>
          <w:vertAlign w:val="subscript"/>
        </w:rPr>
        <w:t>4</w:t>
      </w:r>
      <w:r w:rsidRPr="00033BEA">
        <w:rPr>
          <w:rFonts w:eastAsia="Times New Roman" w:cs="Calibri"/>
          <w:sz w:val="24"/>
          <w:szCs w:val="24"/>
        </w:rPr>
        <w:t xml:space="preserve">) was analyzed by the Palintest Phosphate LR method, while total hardness and alkalinity was done by colorimetric method with a Palintest transmittance display photometer 5000 </w:t>
      </w:r>
      <w:r w:rsidRPr="00033BEA">
        <w:rPr>
          <w:rFonts w:eastAsia="Times New Roman" w:cs="Calibri"/>
          <w:sz w:val="24"/>
          <w:szCs w:val="24"/>
        </w:rPr>
        <w:t xml:space="preserve">(Wagtech International).  </w:t>
      </w:r>
      <w:r w:rsidRPr="00033BEA">
        <w:rPr>
          <w:rFonts w:eastAsia="Times New Roman" w:cs="Calibri"/>
          <w:bCs/>
          <w:sz w:val="24"/>
          <w:szCs w:val="24"/>
        </w:rPr>
        <w:t xml:space="preserve">The abundance of </w:t>
      </w:r>
      <w:r w:rsidRPr="00033BEA">
        <w:rPr>
          <w:rFonts w:eastAsia="Times New Roman" w:cs="Calibri"/>
          <w:bCs/>
          <w:i/>
          <w:sz w:val="24"/>
          <w:szCs w:val="24"/>
        </w:rPr>
        <w:t>D.</w:t>
      </w:r>
      <w:r w:rsidRPr="00033BEA">
        <w:rPr>
          <w:rFonts w:eastAsia="Times New Roman" w:cs="Calibri"/>
          <w:i/>
          <w:sz w:val="24"/>
          <w:szCs w:val="24"/>
        </w:rPr>
        <w:t xml:space="preserve"> magna</w:t>
      </w:r>
      <w:r w:rsidRPr="00033BEA">
        <w:rPr>
          <w:rFonts w:eastAsia="Times New Roman" w:cs="Calibri"/>
          <w:bCs/>
          <w:sz w:val="24"/>
          <w:szCs w:val="24"/>
        </w:rPr>
        <w:t xml:space="preserve"> was counted and estimated in a white Petri dish using eromex microscope (Holland, magnification 0.7-4.5*10) twice</w:t>
      </w:r>
      <w:r w:rsidRPr="00033BEA">
        <w:rPr>
          <w:rFonts w:eastAsia="Times New Roman" w:cs="Calibri"/>
          <w:sz w:val="24"/>
          <w:szCs w:val="24"/>
        </w:rPr>
        <w:t xml:space="preserve"> a week </w:t>
      </w:r>
      <w:r w:rsidRPr="00033BEA">
        <w:rPr>
          <w:rFonts w:eastAsia="Times New Roman" w:cs="Calibri"/>
          <w:bCs/>
          <w:sz w:val="24"/>
          <w:szCs w:val="24"/>
        </w:rPr>
        <w:t xml:space="preserve">from each plastic vessel. When </w:t>
      </w:r>
      <w:r w:rsidRPr="00033BEA">
        <w:rPr>
          <w:rFonts w:eastAsia="Times New Roman" w:cs="Calibri"/>
          <w:bCs/>
          <w:i/>
          <w:sz w:val="24"/>
          <w:szCs w:val="24"/>
        </w:rPr>
        <w:t xml:space="preserve">D. </w:t>
      </w:r>
      <w:r w:rsidRPr="00033BEA">
        <w:rPr>
          <w:rFonts w:eastAsia="Times New Roman" w:cs="Calibri"/>
          <w:i/>
          <w:sz w:val="24"/>
          <w:szCs w:val="24"/>
        </w:rPr>
        <w:t xml:space="preserve">magna </w:t>
      </w:r>
      <w:r w:rsidRPr="00033BEA">
        <w:rPr>
          <w:rFonts w:eastAsia="Times New Roman" w:cs="Calibri"/>
          <w:iCs/>
          <w:sz w:val="24"/>
          <w:szCs w:val="24"/>
        </w:rPr>
        <w:t xml:space="preserve">reached to </w:t>
      </w:r>
      <w:r w:rsidRPr="00033BEA">
        <w:rPr>
          <w:rFonts w:eastAsia="Times New Roman" w:cs="Calibri"/>
          <w:bCs/>
          <w:sz w:val="24"/>
          <w:szCs w:val="24"/>
        </w:rPr>
        <w:t xml:space="preserve">the high density, it was used as live feed for catfish larvae, by filtering with 100 µm mesh size plankton net. </w:t>
      </w:r>
    </w:p>
    <w:p w14:paraId="3517AC05" w14:textId="77777777" w:rsidR="00501CFE" w:rsidRPr="00033BEA" w:rsidRDefault="00501CFE" w:rsidP="00501CFE">
      <w:pPr>
        <w:widowControl w:val="0"/>
        <w:autoSpaceDE w:val="0"/>
        <w:autoSpaceDN w:val="0"/>
        <w:adjustRightInd w:val="0"/>
        <w:rPr>
          <w:rFonts w:eastAsia="Times New Roman" w:cs="Calibri"/>
          <w:b/>
          <w:sz w:val="24"/>
          <w:szCs w:val="24"/>
        </w:rPr>
      </w:pPr>
    </w:p>
    <w:p w14:paraId="682F101C" w14:textId="77777777" w:rsidR="00501CFE" w:rsidRPr="00033BEA" w:rsidRDefault="00501CFE" w:rsidP="00501CFE">
      <w:pPr>
        <w:widowControl w:val="0"/>
        <w:autoSpaceDE w:val="0"/>
        <w:autoSpaceDN w:val="0"/>
        <w:adjustRightInd w:val="0"/>
        <w:rPr>
          <w:rFonts w:eastAsia="Times New Roman" w:cs="Calibri"/>
          <w:sz w:val="24"/>
          <w:szCs w:val="24"/>
        </w:rPr>
      </w:pPr>
      <w:r w:rsidRPr="00033BEA">
        <w:rPr>
          <w:rFonts w:eastAsia="Times New Roman" w:cs="Calibri"/>
          <w:b/>
          <w:sz w:val="24"/>
          <w:szCs w:val="24"/>
        </w:rPr>
        <w:t>Phase III: Development and survival of catfish larvae</w:t>
      </w:r>
    </w:p>
    <w:p w14:paraId="7089E945" w14:textId="77777777" w:rsidR="00501CFE" w:rsidRPr="00033BEA" w:rsidRDefault="00501CFE" w:rsidP="00501CFE">
      <w:pPr>
        <w:widowControl w:val="0"/>
        <w:autoSpaceDE w:val="0"/>
        <w:autoSpaceDN w:val="0"/>
        <w:adjustRightInd w:val="0"/>
        <w:rPr>
          <w:rFonts w:eastAsia="Times New Roman" w:cs="Calibri"/>
          <w:sz w:val="24"/>
          <w:szCs w:val="24"/>
        </w:rPr>
      </w:pPr>
      <w:r w:rsidRPr="00033BEA">
        <w:rPr>
          <w:rFonts w:eastAsia="Times New Roman" w:cs="Calibri"/>
          <w:sz w:val="24"/>
          <w:szCs w:val="24"/>
        </w:rPr>
        <w:t>Three days old catfish (</w:t>
      </w:r>
      <w:r w:rsidRPr="00033BEA">
        <w:rPr>
          <w:rFonts w:eastAsia="Times New Roman" w:cs="Calibri"/>
          <w:i/>
          <w:sz w:val="24"/>
          <w:szCs w:val="24"/>
        </w:rPr>
        <w:t>C. gariepinus</w:t>
      </w:r>
      <w:r w:rsidRPr="00033BEA">
        <w:rPr>
          <w:rFonts w:eastAsia="Times New Roman" w:cs="Calibri"/>
          <w:sz w:val="24"/>
          <w:szCs w:val="24"/>
        </w:rPr>
        <w:t xml:space="preserve">) larvae were taken as an experimental animal from artificially hatched fingerlings in the laboratory. Hundred (100) catfish larvae were stocked in each 60 L glass aquaria and the water temperature was maintained at a temperature of 25 °C using aquarium heater. During all the treatments conducted, continuous aeration was supplied by using an air pump. One treatment and its replication were fed with 5000 live </w:t>
      </w:r>
      <w:r w:rsidRPr="00033BEA">
        <w:rPr>
          <w:rFonts w:eastAsia="Times New Roman" w:cs="Calibri"/>
          <w:i/>
          <w:sz w:val="24"/>
          <w:szCs w:val="24"/>
        </w:rPr>
        <w:t>D. magna</w:t>
      </w:r>
      <w:r w:rsidRPr="00033BEA">
        <w:rPr>
          <w:rFonts w:eastAsia="Times New Roman" w:cs="Calibri"/>
          <w:iCs/>
          <w:sz w:val="24"/>
          <w:szCs w:val="24"/>
        </w:rPr>
        <w:t xml:space="preserve"> (</w:t>
      </w:r>
      <w:r w:rsidRPr="00033BEA">
        <w:rPr>
          <w:rFonts w:eastAsia="Times New Roman" w:cs="Calibri"/>
          <w:sz w:val="24"/>
          <w:szCs w:val="24"/>
        </w:rPr>
        <w:t>Castillo 1981</w:t>
      </w:r>
      <w:r w:rsidRPr="00033BEA">
        <w:rPr>
          <w:rFonts w:eastAsia="Times New Roman" w:cs="Calibri"/>
          <w:iCs/>
          <w:sz w:val="24"/>
          <w:szCs w:val="24"/>
        </w:rPr>
        <w:t>)</w:t>
      </w:r>
      <w:r w:rsidRPr="00033BEA">
        <w:rPr>
          <w:rFonts w:eastAsia="Times New Roman" w:cs="Calibri"/>
          <w:i/>
          <w:sz w:val="24"/>
          <w:szCs w:val="24"/>
        </w:rPr>
        <w:t xml:space="preserve"> </w:t>
      </w:r>
      <w:r w:rsidRPr="00033BEA">
        <w:rPr>
          <w:rFonts w:eastAsia="Times New Roman" w:cs="Calibri"/>
          <w:sz w:val="24"/>
          <w:szCs w:val="24"/>
        </w:rPr>
        <w:t>for 14 days twice a day after 14 days whereby the catfish larvae started to take artificial feeds (Yasmin et al 1998). The other two treatments with their replication were fed boiled chicken yolk and soybean (absence of artemia cyst in Ethiopia) separately twice a day in the aquaria for 14 days after this day it starts to take artificial feed continued as usual by take any feed itms (Awaiss and Kestemont, 1998; FAO, 2018). Initial length and weight of fish larvae was measured by measuring board and sensitive balance at the beginning of the treatment. The mortality of catfish larvae was recorded daily in the morning and the final length and weight of fish in each treatment was measured at the end of the experiment. The remnants (faeces and dust) in the aquariums were siphoned from the bottom using a vinyl tube, and also one third of the water was replenished from rearing aquariums with the least disturbance to the fish larvae. Parameters like temperature, pH, and dissolved oxygen (DO) of the medium were measured daily using multimeter YSI 556.</w:t>
      </w:r>
    </w:p>
    <w:p w14:paraId="75C6F9DE" w14:textId="77777777" w:rsidR="00501CFE" w:rsidRPr="00033BEA" w:rsidRDefault="00501CFE" w:rsidP="00501CFE">
      <w:pPr>
        <w:widowControl w:val="0"/>
        <w:autoSpaceDE w:val="0"/>
        <w:autoSpaceDN w:val="0"/>
        <w:rPr>
          <w:rFonts w:eastAsia="Times New Roman" w:cs="Calibri"/>
          <w:b/>
          <w:bCs/>
          <w:sz w:val="24"/>
          <w:szCs w:val="24"/>
        </w:rPr>
      </w:pPr>
    </w:p>
    <w:p w14:paraId="6D6CB8F3" w14:textId="77777777" w:rsidR="00501CFE" w:rsidRPr="00033BEA" w:rsidRDefault="00501CFE" w:rsidP="00501CFE">
      <w:pPr>
        <w:widowControl w:val="0"/>
        <w:autoSpaceDE w:val="0"/>
        <w:autoSpaceDN w:val="0"/>
        <w:rPr>
          <w:rFonts w:eastAsia="Times New Roman" w:cs="Calibri"/>
          <w:b/>
          <w:bCs/>
          <w:sz w:val="24"/>
          <w:szCs w:val="24"/>
        </w:rPr>
      </w:pPr>
      <w:r w:rsidRPr="00033BEA">
        <w:rPr>
          <w:rFonts w:eastAsia="Times New Roman" w:cs="Calibri"/>
          <w:b/>
          <w:bCs/>
          <w:sz w:val="24"/>
          <w:szCs w:val="24"/>
        </w:rPr>
        <w:t xml:space="preserve">Determination of the specific growth rate of phytoplankton </w:t>
      </w:r>
    </w:p>
    <w:p w14:paraId="7F00337E"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 xml:space="preserve">Specific Growth Rate (µ) is a measure of the number of generations (the number of doublings) that occur per unit of time in an exponentially growing culture (Guillard and Ryther 1962). The exponential (straight line) phase of growth was </w:t>
      </w:r>
      <w:r w:rsidRPr="00033BEA">
        <w:rPr>
          <w:rFonts w:eastAsia="Times New Roman" w:cs="Calibri"/>
          <w:sz w:val="24"/>
          <w:szCs w:val="24"/>
        </w:rPr>
        <w:t>carefully determined, and specific growth rate was obtained using following equation (Guillard and Ryther 1962).</w:t>
      </w:r>
    </w:p>
    <w:p w14:paraId="45C4544C"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 xml:space="preserve">     </w:t>
      </w:r>
      <m:oMath>
        <m:r>
          <m:rPr>
            <m:sty m:val="p"/>
          </m:rPr>
          <w:rPr>
            <w:rFonts w:ascii="Cambria Math" w:eastAsia="Times New Roman" w:hAnsi="Cambria Math" w:cs="Calibri"/>
            <w:sz w:val="24"/>
            <w:szCs w:val="24"/>
          </w:rPr>
          <m:t>µ=</m:t>
        </m:r>
        <m:f>
          <m:fPr>
            <m:ctrlPr>
              <w:rPr>
                <w:rFonts w:ascii="Cambria Math" w:hAnsi="Cambria Math" w:cs="Calibri"/>
                <w:sz w:val="24"/>
                <w:szCs w:val="24"/>
              </w:rPr>
            </m:ctrlPr>
          </m:fPr>
          <m:num>
            <m:r>
              <m:rPr>
                <m:sty m:val="p"/>
              </m:rPr>
              <w:rPr>
                <w:rFonts w:ascii="Cambria Math" w:eastAsia="Times New Roman" w:hAnsi="Cambria Math" w:cs="Calibri"/>
                <w:sz w:val="24"/>
                <w:szCs w:val="24"/>
              </w:rPr>
              <m:t>ln(Nt/No)</m:t>
            </m:r>
          </m:num>
          <m:den>
            <m:r>
              <m:rPr>
                <m:sty m:val="p"/>
              </m:rPr>
              <w:rPr>
                <w:rFonts w:ascii="Cambria Math" w:eastAsia="Times New Roman" w:hAnsi="Cambria Math" w:cs="Calibri"/>
                <w:sz w:val="24"/>
                <w:szCs w:val="24"/>
              </w:rPr>
              <m:t>Tt-To</m:t>
            </m:r>
          </m:den>
        </m:f>
      </m:oMath>
      <w:r w:rsidRPr="00033BEA">
        <w:rPr>
          <w:rFonts w:eastAsia="Times New Roman" w:cs="Calibri"/>
          <w:sz w:val="24"/>
          <w:szCs w:val="24"/>
        </w:rPr>
        <w:t xml:space="preserve"> </w:t>
      </w:r>
    </w:p>
    <w:p w14:paraId="17E2B444" w14:textId="77777777" w:rsidR="00501CFE" w:rsidRPr="00033BEA" w:rsidRDefault="00501CFE" w:rsidP="00501CFE">
      <w:pPr>
        <w:widowControl w:val="0"/>
        <w:autoSpaceDE w:val="0"/>
        <w:autoSpaceDN w:val="0"/>
        <w:rPr>
          <w:rFonts w:eastAsia="Times New Roman" w:cs="Calibri"/>
          <w:iCs/>
          <w:sz w:val="24"/>
          <w:szCs w:val="24"/>
        </w:rPr>
      </w:pPr>
      <w:r w:rsidRPr="00033BEA">
        <w:rPr>
          <w:rFonts w:eastAsia="Times New Roman" w:cs="Calibri"/>
          <w:iCs/>
          <w:sz w:val="24"/>
          <w:szCs w:val="24"/>
        </w:rPr>
        <w:t>Where, Nt = Number of cells at the end of log phase, Number = No of cells at the start of log phase, Tt = Final day of log phase, To = Starting day of log phase</w:t>
      </w:r>
    </w:p>
    <w:p w14:paraId="520D0BFC" w14:textId="77777777" w:rsidR="00501CFE" w:rsidRDefault="00501CFE" w:rsidP="00501CFE">
      <w:pPr>
        <w:widowControl w:val="0"/>
        <w:autoSpaceDE w:val="0"/>
        <w:autoSpaceDN w:val="0"/>
        <w:rPr>
          <w:rFonts w:eastAsia="Times New Roman" w:cs="Calibri"/>
          <w:b/>
          <w:iCs/>
          <w:sz w:val="24"/>
          <w:szCs w:val="24"/>
        </w:rPr>
        <w:sectPr w:rsidR="00501CFE" w:rsidSect="00501CFE">
          <w:type w:val="continuous"/>
          <w:pgSz w:w="11907" w:h="16839" w:code="9"/>
          <w:pgMar w:top="1440" w:right="1440" w:bottom="1440" w:left="1440" w:header="720" w:footer="720" w:gutter="0"/>
          <w:cols w:num="2" w:space="720"/>
          <w:docGrid w:linePitch="360"/>
        </w:sectPr>
      </w:pPr>
    </w:p>
    <w:p w14:paraId="6F2A4135" w14:textId="3455939F" w:rsidR="00501CFE" w:rsidRPr="00033BEA" w:rsidRDefault="00501CFE" w:rsidP="00501CFE">
      <w:pPr>
        <w:widowControl w:val="0"/>
        <w:autoSpaceDE w:val="0"/>
        <w:autoSpaceDN w:val="0"/>
        <w:rPr>
          <w:rFonts w:eastAsia="Times New Roman" w:cs="Calibri"/>
          <w:b/>
          <w:iCs/>
          <w:sz w:val="24"/>
          <w:szCs w:val="24"/>
        </w:rPr>
      </w:pPr>
    </w:p>
    <w:p w14:paraId="43148A69" w14:textId="77777777" w:rsidR="00501CFE" w:rsidRPr="00033BEA" w:rsidRDefault="00501CFE" w:rsidP="00501CFE">
      <w:pPr>
        <w:widowControl w:val="0"/>
        <w:autoSpaceDE w:val="0"/>
        <w:autoSpaceDN w:val="0"/>
        <w:rPr>
          <w:rFonts w:eastAsia="Times New Roman" w:cs="Calibri"/>
          <w:b/>
          <w:iCs/>
          <w:sz w:val="24"/>
          <w:szCs w:val="24"/>
        </w:rPr>
      </w:pPr>
      <w:r w:rsidRPr="00033BEA">
        <w:rPr>
          <w:rFonts w:eastAsia="Times New Roman" w:cs="Calibri"/>
          <w:b/>
          <w:iCs/>
          <w:sz w:val="24"/>
          <w:szCs w:val="24"/>
        </w:rPr>
        <w:t>Survival and mortality rates of catfish larvae</w:t>
      </w:r>
    </w:p>
    <w:p w14:paraId="060EB73D"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After 14 days of feeding experiment, the fish larvae were counted to determine the survival and mortality percentage (Ricker 1975; Afolabi et al 2013):</w:t>
      </w:r>
    </w:p>
    <w:p w14:paraId="7D985182" w14:textId="77777777" w:rsidR="00501CFE" w:rsidRPr="00033BEA" w:rsidRDefault="00501CFE" w:rsidP="00501CFE">
      <w:pPr>
        <w:widowControl w:val="0"/>
        <w:autoSpaceDE w:val="0"/>
        <w:autoSpaceDN w:val="0"/>
        <w:rPr>
          <w:rFonts w:eastAsia="Times New Roman" w:cs="Calibri"/>
          <w:iCs/>
          <w:sz w:val="24"/>
          <w:szCs w:val="24"/>
        </w:rPr>
      </w:pPr>
      <w:bookmarkStart w:id="5" w:name="_Hlk101791927"/>
      <m:oMathPara>
        <m:oMath>
          <m:r>
            <m:rPr>
              <m:sty m:val="p"/>
            </m:rPr>
            <w:rPr>
              <w:rFonts w:ascii="Cambria Math" w:eastAsia="Times New Roman" w:hAnsi="Cambria Math" w:cs="Calibri"/>
              <w:sz w:val="24"/>
              <w:szCs w:val="24"/>
            </w:rPr>
            <m:t xml:space="preserve">Survival rate </m:t>
          </m:r>
          <m:d>
            <m:dPr>
              <m:ctrlPr>
                <w:rPr>
                  <w:rFonts w:ascii="Cambria Math" w:eastAsia="Times New Roman" w:hAnsi="Cambria Math" w:cs="Calibri"/>
                  <w:iCs/>
                  <w:sz w:val="24"/>
                  <w:szCs w:val="24"/>
                </w:rPr>
              </m:ctrlPr>
            </m:dPr>
            <m:e>
              <m:r>
                <m:rPr>
                  <m:sty m:val="p"/>
                </m:rPr>
                <w:rPr>
                  <w:rFonts w:ascii="Cambria Math" w:eastAsia="Times New Roman" w:hAnsi="Cambria Math" w:cs="Calibri"/>
                  <w:sz w:val="24"/>
                  <w:szCs w:val="24"/>
                </w:rPr>
                <m:t>%</m:t>
              </m:r>
            </m:e>
          </m:d>
          <m:r>
            <m:rPr>
              <m:sty m:val="p"/>
            </m:rPr>
            <w:rPr>
              <w:rFonts w:ascii="Cambria Math" w:eastAsia="Times New Roman" w:hAnsi="Cambria Math" w:cs="Calibri"/>
              <w:sz w:val="24"/>
              <w:szCs w:val="24"/>
            </w:rPr>
            <m:t xml:space="preserve">= </m:t>
          </m:r>
          <m:f>
            <m:fPr>
              <m:ctrlPr>
                <w:rPr>
                  <w:rFonts w:ascii="Cambria Math" w:eastAsia="Times New Roman" w:hAnsi="Cambria Math" w:cs="Calibri"/>
                  <w:iCs/>
                  <w:sz w:val="24"/>
                  <w:szCs w:val="24"/>
                </w:rPr>
              </m:ctrlPr>
            </m:fPr>
            <m:num>
              <m:r>
                <m:rPr>
                  <m:sty m:val="p"/>
                </m:rPr>
                <w:rPr>
                  <w:rFonts w:ascii="Cambria Math" w:eastAsia="Times New Roman" w:hAnsi="Cambria Math" w:cs="Calibri"/>
                  <w:sz w:val="24"/>
                  <w:szCs w:val="24"/>
                </w:rPr>
                <m:t xml:space="preserve">Number of fish at the end of the expereiment </m:t>
              </m:r>
            </m:num>
            <m:den>
              <m:r>
                <m:rPr>
                  <m:sty m:val="p"/>
                </m:rPr>
                <w:rPr>
                  <w:rFonts w:ascii="Cambria Math" w:eastAsia="Times New Roman" w:hAnsi="Cambria Math" w:cs="Calibri"/>
                  <w:sz w:val="24"/>
                  <w:szCs w:val="24"/>
                </w:rPr>
                <m:t>Number of fish at the beginning of the expereiment</m:t>
              </m:r>
            </m:den>
          </m:f>
          <m:r>
            <m:rPr>
              <m:sty m:val="p"/>
            </m:rPr>
            <w:rPr>
              <w:rFonts w:ascii="Cambria Math" w:eastAsia="Times New Roman" w:hAnsi="Cambria Math" w:cs="Calibri"/>
              <w:sz w:val="24"/>
              <w:szCs w:val="24"/>
            </w:rPr>
            <m:t xml:space="preserve"> X 100</m:t>
          </m:r>
        </m:oMath>
      </m:oMathPara>
    </w:p>
    <w:p w14:paraId="577BEAD3" w14:textId="77777777" w:rsidR="00501CFE" w:rsidRPr="00033BEA" w:rsidRDefault="00501CFE" w:rsidP="00501CFE">
      <w:pPr>
        <w:widowControl w:val="0"/>
        <w:autoSpaceDE w:val="0"/>
        <w:autoSpaceDN w:val="0"/>
        <w:rPr>
          <w:rFonts w:eastAsia="Times New Roman" w:cs="Calibri"/>
          <w:iCs/>
          <w:sz w:val="24"/>
          <w:szCs w:val="24"/>
        </w:rPr>
      </w:pPr>
      <w:bookmarkStart w:id="6" w:name="_Hlk101792143"/>
      <w:bookmarkEnd w:id="5"/>
      <m:oMathPara>
        <m:oMath>
          <m:r>
            <m:rPr>
              <m:sty m:val="p"/>
            </m:rPr>
            <w:rPr>
              <w:rFonts w:ascii="Cambria Math" w:eastAsia="Times New Roman" w:hAnsi="Cambria Math" w:cs="Calibri"/>
              <w:sz w:val="24"/>
              <w:szCs w:val="24"/>
            </w:rPr>
            <m:t xml:space="preserve">Mortality rate </m:t>
          </m:r>
          <m:d>
            <m:dPr>
              <m:ctrlPr>
                <w:rPr>
                  <w:rFonts w:ascii="Cambria Math" w:eastAsia="Times New Roman" w:hAnsi="Cambria Math" w:cs="Calibri"/>
                  <w:iCs/>
                  <w:sz w:val="24"/>
                  <w:szCs w:val="24"/>
                </w:rPr>
              </m:ctrlPr>
            </m:dPr>
            <m:e>
              <m:r>
                <m:rPr>
                  <m:sty m:val="p"/>
                </m:rPr>
                <w:rPr>
                  <w:rFonts w:ascii="Cambria Math" w:eastAsia="Times New Roman" w:hAnsi="Cambria Math" w:cs="Calibri"/>
                  <w:sz w:val="24"/>
                  <w:szCs w:val="24"/>
                </w:rPr>
                <m:t>%</m:t>
              </m:r>
            </m:e>
          </m:d>
          <m:r>
            <m:rPr>
              <m:sty m:val="p"/>
            </m:rPr>
            <w:rPr>
              <w:rFonts w:ascii="Cambria Math" w:eastAsia="Times New Roman" w:hAnsi="Cambria Math" w:cs="Calibri"/>
              <w:sz w:val="24"/>
              <w:szCs w:val="24"/>
            </w:rPr>
            <m:t xml:space="preserve">= </m:t>
          </m:r>
          <m:f>
            <m:fPr>
              <m:ctrlPr>
                <w:rPr>
                  <w:rFonts w:ascii="Cambria Math" w:eastAsia="Times New Roman" w:hAnsi="Cambria Math" w:cs="Calibri"/>
                  <w:iCs/>
                  <w:sz w:val="24"/>
                  <w:szCs w:val="24"/>
                </w:rPr>
              </m:ctrlPr>
            </m:fPr>
            <m:num>
              <m:r>
                <m:rPr>
                  <m:sty m:val="p"/>
                </m:rPr>
                <w:rPr>
                  <w:rFonts w:ascii="Cambria Math" w:eastAsia="Times New Roman" w:hAnsi="Cambria Math" w:cs="Calibri"/>
                  <w:sz w:val="24"/>
                  <w:szCs w:val="24"/>
                </w:rPr>
                <m:t xml:space="preserve">Number of fish that died during the expereiment </m:t>
              </m:r>
            </m:num>
            <m:den>
              <m:r>
                <m:rPr>
                  <m:sty m:val="p"/>
                </m:rPr>
                <w:rPr>
                  <w:rFonts w:ascii="Cambria Math" w:eastAsia="Times New Roman" w:hAnsi="Cambria Math" w:cs="Calibri"/>
                  <w:sz w:val="24"/>
                  <w:szCs w:val="24"/>
                </w:rPr>
                <m:t>Number of fish at the beginning of the expereiment</m:t>
              </m:r>
            </m:den>
          </m:f>
          <m:r>
            <m:rPr>
              <m:sty m:val="p"/>
            </m:rPr>
            <w:rPr>
              <w:rFonts w:ascii="Cambria Math" w:eastAsia="Times New Roman" w:hAnsi="Cambria Math" w:cs="Calibri"/>
              <w:sz w:val="24"/>
              <w:szCs w:val="24"/>
            </w:rPr>
            <m:t xml:space="preserve"> X 100</m:t>
          </m:r>
        </m:oMath>
      </m:oMathPara>
      <w:bookmarkEnd w:id="6"/>
    </w:p>
    <w:p w14:paraId="47EC9192" w14:textId="77777777" w:rsidR="00501CFE" w:rsidRPr="00033BEA" w:rsidRDefault="00501CFE" w:rsidP="00501CFE">
      <w:pPr>
        <w:widowControl w:val="0"/>
        <w:autoSpaceDE w:val="0"/>
        <w:autoSpaceDN w:val="0"/>
        <w:rPr>
          <w:rFonts w:eastAsia="Times New Roman" w:cs="Calibri"/>
          <w:b/>
          <w:bCs/>
          <w:sz w:val="24"/>
          <w:szCs w:val="24"/>
        </w:rPr>
      </w:pPr>
    </w:p>
    <w:p w14:paraId="59995D9D" w14:textId="77777777" w:rsidR="00501CFE" w:rsidRPr="00033BEA" w:rsidRDefault="00501CFE" w:rsidP="00501CFE">
      <w:pPr>
        <w:widowControl w:val="0"/>
        <w:autoSpaceDE w:val="0"/>
        <w:autoSpaceDN w:val="0"/>
        <w:rPr>
          <w:rFonts w:eastAsia="Times New Roman" w:cs="Calibri"/>
          <w:b/>
          <w:iCs/>
          <w:sz w:val="24"/>
          <w:szCs w:val="24"/>
        </w:rPr>
      </w:pPr>
      <w:r w:rsidRPr="00033BEA">
        <w:rPr>
          <w:rFonts w:eastAsia="Times New Roman" w:cs="Calibri"/>
          <w:b/>
          <w:bCs/>
          <w:sz w:val="24"/>
          <w:szCs w:val="24"/>
        </w:rPr>
        <w:t>Growth performance</w:t>
      </w:r>
      <w:r w:rsidRPr="00033BEA">
        <w:rPr>
          <w:rFonts w:eastAsia="Times New Roman" w:cs="Calibri"/>
          <w:b/>
          <w:sz w:val="24"/>
          <w:szCs w:val="24"/>
        </w:rPr>
        <w:t xml:space="preserve"> of fish larvae</w:t>
      </w:r>
    </w:p>
    <w:p w14:paraId="6BA92620"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Fish body weights were recorded at the beginning day and the end of the feeding experiment for all fish. The following formulas were used to estimate the growth parameters (Ricker 1975; Afolabi et al 2013):</w:t>
      </w:r>
    </w:p>
    <w:p w14:paraId="53288E83" w14:textId="77777777" w:rsidR="00501CFE" w:rsidRPr="00033BEA" w:rsidRDefault="00501CFE" w:rsidP="00501CFE">
      <w:pPr>
        <w:widowControl w:val="0"/>
        <w:autoSpaceDE w:val="0"/>
        <w:autoSpaceDN w:val="0"/>
        <w:rPr>
          <w:rFonts w:eastAsia="Times New Roman" w:cs="Calibri"/>
          <w:sz w:val="24"/>
          <w:szCs w:val="24"/>
        </w:rPr>
      </w:pPr>
      <m:oMath>
        <m:r>
          <m:rPr>
            <m:sty m:val="p"/>
          </m:rPr>
          <w:rPr>
            <w:rFonts w:ascii="Cambria Math" w:eastAsia="Times New Roman" w:hAnsi="Cambria Math" w:cs="Calibri"/>
            <w:sz w:val="24"/>
            <w:szCs w:val="24"/>
          </w:rPr>
          <m:t xml:space="preserve">Mean Weight Gain </m:t>
        </m:r>
        <m:d>
          <m:dPr>
            <m:ctrlPr>
              <w:rPr>
                <w:rFonts w:ascii="Cambria Math" w:eastAsia="Times New Roman" w:hAnsi="Cambria Math" w:cs="Calibri"/>
                <w:sz w:val="24"/>
                <w:szCs w:val="24"/>
              </w:rPr>
            </m:ctrlPr>
          </m:dPr>
          <m:e>
            <m:r>
              <m:rPr>
                <m:sty m:val="p"/>
              </m:rPr>
              <w:rPr>
                <w:rFonts w:ascii="Cambria Math" w:eastAsia="Times New Roman" w:hAnsi="Cambria Math" w:cs="Calibri"/>
                <w:sz w:val="24"/>
                <w:szCs w:val="24"/>
              </w:rPr>
              <m:t>MWG;g</m:t>
            </m:r>
          </m:e>
        </m:d>
        <m:r>
          <w:rPr>
            <w:rFonts w:ascii="Cambria Math" w:eastAsia="Times New Roman" w:hAnsi="Cambria Math" w:cs="Calibri"/>
            <w:sz w:val="24"/>
            <w:szCs w:val="24"/>
          </w:rPr>
          <m:t>=</m:t>
        </m:r>
        <m:r>
          <m:rPr>
            <m:sty m:val="p"/>
          </m:rPr>
          <w:rPr>
            <w:rFonts w:ascii="Cambria Math" w:eastAsia="Times New Roman" w:hAnsi="Cambria Math" w:cs="Calibri"/>
            <w:sz w:val="24"/>
            <w:szCs w:val="24"/>
          </w:rPr>
          <m:t>Final mean weight (W1) - Initial mean weight (W0)</m:t>
        </m:r>
      </m:oMath>
      <w:r w:rsidRPr="00033BEA">
        <w:rPr>
          <w:rFonts w:eastAsia="Times New Roman" w:cs="Calibri"/>
          <w:sz w:val="24"/>
          <w:szCs w:val="24"/>
        </w:rPr>
        <w:t xml:space="preserve">     </w:t>
      </w:r>
      <w:r w:rsidRPr="00033BEA">
        <w:rPr>
          <w:rFonts w:eastAsia="Times New Roman" w:cs="Calibri"/>
          <w:iCs/>
          <w:sz w:val="24"/>
          <w:szCs w:val="24"/>
        </w:rPr>
        <w:br/>
      </w:r>
      <m:oMathPara>
        <m:oMath>
          <m:r>
            <m:rPr>
              <m:sty m:val="p"/>
            </m:rPr>
            <w:rPr>
              <w:rFonts w:ascii="Cambria Math" w:eastAsia="Times New Roman" w:hAnsi="Cambria Math" w:cs="Calibri"/>
              <w:sz w:val="24"/>
              <w:szCs w:val="24"/>
            </w:rPr>
            <m:t xml:space="preserve">Specfic Growth Rate (SGR;g/day)= </m:t>
          </m:r>
          <m:f>
            <m:fPr>
              <m:ctrlPr>
                <w:rPr>
                  <w:rFonts w:ascii="Cambria Math" w:eastAsia="Times New Roman" w:hAnsi="Cambria Math" w:cs="Calibri"/>
                  <w:iCs/>
                  <w:sz w:val="24"/>
                  <w:szCs w:val="24"/>
                </w:rPr>
              </m:ctrlPr>
            </m:fPr>
            <m:num>
              <m:r>
                <m:rPr>
                  <m:sty m:val="p"/>
                </m:rPr>
                <w:rPr>
                  <w:rFonts w:ascii="Cambria Math" w:eastAsia="Times New Roman" w:hAnsi="Cambria Math" w:cs="Calibri"/>
                  <w:sz w:val="24"/>
                  <w:szCs w:val="24"/>
                </w:rPr>
                <m:t>Ln</m:t>
              </m:r>
              <m:d>
                <m:dPr>
                  <m:ctrlPr>
                    <w:rPr>
                      <w:rFonts w:ascii="Cambria Math" w:eastAsia="Times New Roman" w:hAnsi="Cambria Math" w:cs="Calibri"/>
                      <w:iCs/>
                      <w:sz w:val="24"/>
                      <w:szCs w:val="24"/>
                    </w:rPr>
                  </m:ctrlPr>
                </m:dPr>
                <m:e>
                  <m:r>
                    <m:rPr>
                      <m:sty m:val="p"/>
                    </m:rPr>
                    <w:rPr>
                      <w:rFonts w:ascii="Cambria Math" w:eastAsia="Times New Roman" w:hAnsi="Cambria Math" w:cs="Calibri"/>
                      <w:sz w:val="24"/>
                      <w:szCs w:val="24"/>
                    </w:rPr>
                    <m:t>Final mean weight</m:t>
                  </m:r>
                </m:e>
              </m:d>
              <m:r>
                <m:rPr>
                  <m:sty m:val="p"/>
                </m:rPr>
                <w:rPr>
                  <w:rFonts w:ascii="Cambria Math" w:eastAsia="Times New Roman" w:hAnsi="Cambria Math" w:cs="Calibri"/>
                  <w:sz w:val="24"/>
                  <w:szCs w:val="24"/>
                </w:rPr>
                <m:t xml:space="preserve">-Ln(Initial mean weight) </m:t>
              </m:r>
            </m:num>
            <m:den>
              <m:r>
                <m:rPr>
                  <m:sty m:val="p"/>
                </m:rPr>
                <w:rPr>
                  <w:rFonts w:ascii="Cambria Math" w:eastAsia="Times New Roman" w:hAnsi="Cambria Math" w:cs="Calibri"/>
                  <w:sz w:val="24"/>
                  <w:szCs w:val="24"/>
                </w:rPr>
                <m:t>Lenght of feeding trial (days)</m:t>
              </m:r>
            </m:den>
          </m:f>
        </m:oMath>
      </m:oMathPara>
    </w:p>
    <w:p w14:paraId="55F01F37" w14:textId="77777777" w:rsidR="00501CFE" w:rsidRPr="00033BEA" w:rsidRDefault="00501CFE" w:rsidP="00501CFE">
      <w:pPr>
        <w:widowControl w:val="0"/>
        <w:autoSpaceDE w:val="0"/>
        <w:autoSpaceDN w:val="0"/>
        <w:spacing w:after="240"/>
        <w:rPr>
          <w:rFonts w:eastAsia="Times New Roman" w:cs="Calibri"/>
          <w:b/>
          <w:bCs/>
          <w:sz w:val="24"/>
          <w:szCs w:val="24"/>
        </w:rPr>
      </w:pPr>
    </w:p>
    <w:p w14:paraId="4193DA5D" w14:textId="77777777" w:rsidR="00501CFE" w:rsidRDefault="00501CFE" w:rsidP="00501CFE">
      <w:pPr>
        <w:widowControl w:val="0"/>
        <w:autoSpaceDE w:val="0"/>
        <w:autoSpaceDN w:val="0"/>
        <w:spacing w:after="240"/>
        <w:rPr>
          <w:rFonts w:eastAsia="Times New Roman" w:cs="Calibri"/>
          <w:b/>
          <w:bCs/>
          <w:sz w:val="24"/>
          <w:szCs w:val="24"/>
        </w:rPr>
        <w:sectPr w:rsidR="00501CFE" w:rsidSect="00501CFE">
          <w:type w:val="continuous"/>
          <w:pgSz w:w="11907" w:h="16839" w:code="9"/>
          <w:pgMar w:top="1440" w:right="1440" w:bottom="1440" w:left="1440" w:header="720" w:footer="720" w:gutter="0"/>
          <w:cols w:space="720"/>
          <w:docGrid w:linePitch="360"/>
        </w:sectPr>
      </w:pPr>
    </w:p>
    <w:p w14:paraId="77EA62D5" w14:textId="6D204708" w:rsidR="00501CFE" w:rsidRPr="00B74EEA" w:rsidRDefault="00501CFE" w:rsidP="00B74EEA">
      <w:pPr>
        <w:pStyle w:val="ListParagraph"/>
        <w:widowControl w:val="0"/>
        <w:numPr>
          <w:ilvl w:val="0"/>
          <w:numId w:val="33"/>
        </w:numPr>
        <w:autoSpaceDE w:val="0"/>
        <w:autoSpaceDN w:val="0"/>
        <w:spacing w:after="240"/>
        <w:ind w:firstLineChars="0"/>
        <w:rPr>
          <w:rFonts w:eastAsia="Times New Roman" w:cs="Calibri"/>
          <w:sz w:val="24"/>
          <w:szCs w:val="24"/>
        </w:rPr>
      </w:pPr>
      <w:r w:rsidRPr="00B74EEA">
        <w:rPr>
          <w:rFonts w:eastAsia="Times New Roman" w:cs="Calibri"/>
          <w:b/>
          <w:bCs/>
          <w:sz w:val="24"/>
          <w:szCs w:val="24"/>
        </w:rPr>
        <w:t>RESULTS AND DISCUSSION</w:t>
      </w:r>
    </w:p>
    <w:p w14:paraId="75DE8E1F"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b/>
          <w:bCs/>
          <w:sz w:val="24"/>
          <w:szCs w:val="24"/>
        </w:rPr>
        <w:t xml:space="preserve">Phase </w:t>
      </w:r>
      <w:r w:rsidRPr="00033BEA">
        <w:rPr>
          <w:rFonts w:eastAsia="Times New Roman" w:cs="Calibri"/>
          <w:b/>
          <w:sz w:val="24"/>
          <w:szCs w:val="24"/>
        </w:rPr>
        <w:t>I</w:t>
      </w:r>
      <w:r w:rsidRPr="00033BEA">
        <w:rPr>
          <w:rFonts w:eastAsia="Times New Roman" w:cs="Calibri"/>
          <w:b/>
          <w:bCs/>
          <w:sz w:val="24"/>
          <w:szCs w:val="24"/>
        </w:rPr>
        <w:t xml:space="preserve">: Culture of </w:t>
      </w:r>
      <w:r w:rsidRPr="00033BEA">
        <w:rPr>
          <w:rFonts w:eastAsia="Times New Roman" w:cs="Calibri"/>
          <w:b/>
          <w:i/>
          <w:sz w:val="24"/>
          <w:szCs w:val="24"/>
        </w:rPr>
        <w:t>Scenedesmus</w:t>
      </w:r>
      <w:r w:rsidRPr="00033BEA">
        <w:rPr>
          <w:rFonts w:eastAsia="Times New Roman" w:cs="Calibri"/>
          <w:b/>
          <w:sz w:val="24"/>
          <w:szCs w:val="24"/>
        </w:rPr>
        <w:t xml:space="preserve"> species</w:t>
      </w:r>
    </w:p>
    <w:p w14:paraId="75FF2821"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 xml:space="preserve">At both treatment numbers 1 and 2, the cultivated Scenedesmus species had the same biomass of 144 g/L. </w:t>
      </w:r>
      <w:r w:rsidRPr="00033BEA">
        <w:rPr>
          <w:rFonts w:eastAsia="Times New Roman" w:cs="Calibri"/>
          <w:bCs/>
          <w:iCs/>
          <w:sz w:val="24"/>
          <w:szCs w:val="24"/>
        </w:rPr>
        <w:t xml:space="preserve">According to </w:t>
      </w:r>
      <w:r w:rsidRPr="00033BEA">
        <w:rPr>
          <w:rFonts w:eastAsia="Times New Roman" w:cs="Calibri"/>
          <w:sz w:val="24"/>
          <w:szCs w:val="24"/>
        </w:rPr>
        <w:t xml:space="preserve">(FAO 1996; </w:t>
      </w:r>
      <w:r w:rsidRPr="00033BEA">
        <w:rPr>
          <w:rFonts w:eastAsia="Times New Roman" w:cs="Calibri"/>
          <w:bCs/>
          <w:sz w:val="24"/>
          <w:szCs w:val="24"/>
        </w:rPr>
        <w:t xml:space="preserve">Das </w:t>
      </w:r>
      <w:r w:rsidRPr="00033BEA">
        <w:rPr>
          <w:rFonts w:eastAsia="Times New Roman" w:cs="Calibri"/>
          <w:bCs/>
          <w:i/>
          <w:sz w:val="24"/>
          <w:szCs w:val="24"/>
        </w:rPr>
        <w:t>et al</w:t>
      </w:r>
      <w:r w:rsidRPr="00033BEA">
        <w:rPr>
          <w:rFonts w:eastAsia="Times New Roman" w:cs="Calibri"/>
          <w:bCs/>
          <w:sz w:val="24"/>
          <w:szCs w:val="24"/>
        </w:rPr>
        <w:t xml:space="preserve"> 2012), </w:t>
      </w:r>
      <w:r w:rsidRPr="00033BEA">
        <w:rPr>
          <w:rFonts w:eastAsia="Times New Roman" w:cs="Calibri"/>
          <w:bCs/>
          <w:iCs/>
          <w:sz w:val="24"/>
          <w:szCs w:val="24"/>
        </w:rPr>
        <w:t xml:space="preserve">the </w:t>
      </w:r>
      <w:r w:rsidRPr="00033BEA">
        <w:rPr>
          <w:rFonts w:eastAsia="Times New Roman" w:cs="Calibri"/>
          <w:i/>
          <w:sz w:val="24"/>
          <w:szCs w:val="24"/>
        </w:rPr>
        <w:t xml:space="preserve">Scenedesmus </w:t>
      </w:r>
      <w:r w:rsidRPr="00033BEA">
        <w:rPr>
          <w:rFonts w:eastAsia="Times New Roman" w:cs="Calibri"/>
          <w:sz w:val="24"/>
          <w:szCs w:val="24"/>
        </w:rPr>
        <w:t>species were used to important to feed zooplankton (</w:t>
      </w:r>
      <w:r w:rsidRPr="00033BEA">
        <w:rPr>
          <w:rFonts w:eastAsia="Times New Roman" w:cs="Calibri"/>
          <w:i/>
          <w:sz w:val="24"/>
          <w:szCs w:val="24"/>
        </w:rPr>
        <w:t>D. magna</w:t>
      </w:r>
      <w:r w:rsidRPr="00033BEA">
        <w:rPr>
          <w:rFonts w:eastAsia="Times New Roman" w:cs="Calibri"/>
          <w:sz w:val="24"/>
          <w:szCs w:val="24"/>
        </w:rPr>
        <w:t>) during rearing catfish larvae</w:t>
      </w:r>
      <w:r w:rsidRPr="00033BEA">
        <w:rPr>
          <w:rFonts w:eastAsia="Times New Roman" w:cs="Calibri"/>
          <w:bCs/>
          <w:sz w:val="24"/>
          <w:szCs w:val="24"/>
        </w:rPr>
        <w:t xml:space="preserve">. </w:t>
      </w:r>
      <w:r w:rsidRPr="00033BEA">
        <w:rPr>
          <w:rFonts w:eastAsia="Times New Roman" w:cs="Calibri"/>
          <w:bCs/>
          <w:iCs/>
          <w:sz w:val="24"/>
          <w:szCs w:val="24"/>
        </w:rPr>
        <w:t xml:space="preserve"> The logarithmic phase of the growth rate was between the days of 16-24 for both experiments (Figure 1). The</w:t>
      </w:r>
      <w:r w:rsidRPr="00033BEA">
        <w:rPr>
          <w:rFonts w:eastAsia="Times New Roman" w:cs="Calibri"/>
          <w:sz w:val="24"/>
          <w:szCs w:val="24"/>
        </w:rPr>
        <w:t xml:space="preserve"> specific growth rates (µ) of treatment 1 and treatment 2 were 0.281 g/day and 0.31 g/day, respectively. The results indicated the specific growth rate at NPSZn (treatment 2) was slightly greater than chemical preparation (treatment 1). Therefore, treatment 2 was recommended for algal culture purpose for rearing zooplankton due to the accessibility of fertilizers.  However, statistical analysis </w:t>
      </w:r>
      <w:r w:rsidRPr="00033BEA">
        <w:rPr>
          <w:rFonts w:eastAsia="Times New Roman" w:cs="Calibri"/>
          <w:sz w:val="24"/>
          <w:szCs w:val="24"/>
        </w:rPr>
        <w:t xml:space="preserve">using analysis of variance (ANOVA) showed an insignificant difference (P &gt; 0.05) between the two treatments. The total biomass of the cultured algae was 144 µg/L in treatment number 1 and 2, while the net biomass of the cultured algae was 129 µg/L.  The graphs of both cultured algae showed a typical growth pattern of algae starting from the lag phase up to the stationary phase under laboratory conditions (Figure 1). The growth pattern is similar to the others’ report (Guillard 1975; Carlsson </w:t>
      </w:r>
      <w:r w:rsidRPr="00033BEA">
        <w:rPr>
          <w:rFonts w:eastAsia="Times New Roman" w:cs="Calibri"/>
          <w:i/>
          <w:iCs/>
          <w:sz w:val="24"/>
          <w:szCs w:val="24"/>
        </w:rPr>
        <w:t>et al</w:t>
      </w:r>
      <w:r w:rsidRPr="00033BEA">
        <w:rPr>
          <w:rFonts w:eastAsia="Times New Roman" w:cs="Calibri"/>
          <w:sz w:val="24"/>
          <w:szCs w:val="24"/>
        </w:rPr>
        <w:t xml:space="preserve"> 2007; Fatemeh and Mohsen 2016; </w:t>
      </w:r>
      <w:hyperlink r:id="rId12" w:anchor="b2-2.3.2.%20Growth%20dynamics" w:tgtFrame="_blank" w:history="1">
        <w:r w:rsidRPr="00033BEA">
          <w:rPr>
            <w:rFonts w:cs="Calibri"/>
            <w:sz w:val="24"/>
            <w:szCs w:val="24"/>
          </w:rPr>
          <w:t>FAO 1996</w:t>
        </w:r>
      </w:hyperlink>
      <w:r w:rsidRPr="00033BEA">
        <w:rPr>
          <w:rFonts w:eastAsia="Times New Roman" w:cs="Calibri"/>
          <w:sz w:val="24"/>
          <w:szCs w:val="24"/>
        </w:rPr>
        <w:t xml:space="preserve">).  In the final stage of the stationary phase, the cell density of </w:t>
      </w:r>
      <w:r w:rsidRPr="00033BEA">
        <w:rPr>
          <w:rFonts w:eastAsia="Times New Roman" w:cs="Calibri"/>
          <w:i/>
          <w:sz w:val="24"/>
          <w:szCs w:val="24"/>
        </w:rPr>
        <w:t>Scenedesmus</w:t>
      </w:r>
      <w:r w:rsidRPr="00033BEA">
        <w:rPr>
          <w:rFonts w:eastAsia="Times New Roman" w:cs="Calibri"/>
          <w:sz w:val="24"/>
          <w:szCs w:val="24"/>
        </w:rPr>
        <w:t xml:space="preserve"> species showed stable because this might be due to the reduction of nutrient, light intensity, dissolve oxygen, contamination, and disorder of pH (Carlsson </w:t>
      </w:r>
      <w:r w:rsidRPr="00033BEA">
        <w:rPr>
          <w:rFonts w:eastAsia="Times New Roman" w:cs="Calibri"/>
          <w:i/>
          <w:iCs/>
          <w:sz w:val="24"/>
          <w:szCs w:val="24"/>
        </w:rPr>
        <w:t>et al</w:t>
      </w:r>
      <w:r w:rsidRPr="00033BEA">
        <w:rPr>
          <w:rFonts w:eastAsia="Times New Roman" w:cs="Calibri"/>
          <w:sz w:val="24"/>
          <w:szCs w:val="24"/>
        </w:rPr>
        <w:t xml:space="preserve"> 2007). According to Carlsson </w:t>
      </w:r>
      <w:r w:rsidRPr="00033BEA">
        <w:rPr>
          <w:rFonts w:eastAsia="Times New Roman" w:cs="Calibri"/>
          <w:i/>
          <w:iCs/>
          <w:sz w:val="24"/>
          <w:szCs w:val="24"/>
        </w:rPr>
        <w:t>et al</w:t>
      </w:r>
      <w:r w:rsidRPr="00033BEA">
        <w:rPr>
          <w:rFonts w:eastAsia="Times New Roman" w:cs="Calibri"/>
          <w:sz w:val="24"/>
          <w:szCs w:val="24"/>
        </w:rPr>
        <w:t xml:space="preserve"> (2007) and Fatemeh and Mohsen (2016) the high biomass (3/4</w:t>
      </w:r>
      <w:r w:rsidRPr="00033BEA">
        <w:rPr>
          <w:rFonts w:eastAsia="Times New Roman" w:cs="Calibri"/>
          <w:sz w:val="24"/>
          <w:szCs w:val="24"/>
          <w:vertAlign w:val="superscript"/>
        </w:rPr>
        <w:t>th</w:t>
      </w:r>
      <w:r w:rsidRPr="00033BEA">
        <w:rPr>
          <w:rFonts w:eastAsia="Times New Roman" w:cs="Calibri"/>
          <w:sz w:val="24"/>
          <w:szCs w:val="24"/>
        </w:rPr>
        <w:t xml:space="preserve">) of </w:t>
      </w:r>
      <w:r w:rsidRPr="00033BEA">
        <w:rPr>
          <w:rFonts w:eastAsia="Times New Roman" w:cs="Calibri"/>
          <w:i/>
          <w:sz w:val="24"/>
          <w:szCs w:val="24"/>
        </w:rPr>
        <w:t>Scenedesmus</w:t>
      </w:r>
      <w:r w:rsidRPr="00033BEA">
        <w:rPr>
          <w:rFonts w:eastAsia="Times New Roman" w:cs="Calibri"/>
          <w:sz w:val="24"/>
          <w:szCs w:val="24"/>
        </w:rPr>
        <w:t xml:space="preserve"> sp. </w:t>
      </w:r>
      <w:r w:rsidRPr="00033BEA">
        <w:rPr>
          <w:rFonts w:eastAsia="Times New Roman" w:cs="Calibri"/>
          <w:sz w:val="24"/>
          <w:szCs w:val="24"/>
        </w:rPr>
        <w:lastRenderedPageBreak/>
        <w:t xml:space="preserve">production was used to be feed </w:t>
      </w:r>
      <w:r w:rsidRPr="00033BEA">
        <w:rPr>
          <w:rFonts w:eastAsia="Times New Roman" w:cs="Calibri"/>
          <w:i/>
          <w:sz w:val="24"/>
          <w:szCs w:val="24"/>
        </w:rPr>
        <w:t xml:space="preserve">the D.magna </w:t>
      </w:r>
      <w:r w:rsidRPr="00033BEA">
        <w:rPr>
          <w:rFonts w:eastAsia="Times New Roman" w:cs="Calibri"/>
          <w:sz w:val="24"/>
          <w:szCs w:val="24"/>
        </w:rPr>
        <w:t>and the reaming biomas1/4</w:t>
      </w:r>
      <w:r w:rsidRPr="00033BEA">
        <w:rPr>
          <w:rFonts w:eastAsia="Times New Roman" w:cs="Calibri"/>
          <w:sz w:val="24"/>
          <w:szCs w:val="24"/>
          <w:vertAlign w:val="superscript"/>
        </w:rPr>
        <w:t>th</w:t>
      </w:r>
      <w:r w:rsidRPr="00033BEA">
        <w:rPr>
          <w:rFonts w:eastAsia="Times New Roman" w:cs="Calibri"/>
          <w:sz w:val="24"/>
          <w:szCs w:val="24"/>
        </w:rPr>
        <w:t xml:space="preserve"> was </w:t>
      </w:r>
      <w:r w:rsidRPr="00033BEA">
        <w:rPr>
          <w:rFonts w:eastAsia="Times New Roman" w:cs="Calibri"/>
          <w:sz w:val="24"/>
          <w:szCs w:val="24"/>
        </w:rPr>
        <w:t xml:space="preserve">used as a new culture before reaching a decline phase. </w:t>
      </w:r>
    </w:p>
    <w:p w14:paraId="364B56FE" w14:textId="77777777" w:rsidR="00501CFE" w:rsidRDefault="00501CFE" w:rsidP="00501CFE">
      <w:pPr>
        <w:widowControl w:val="0"/>
        <w:autoSpaceDE w:val="0"/>
        <w:autoSpaceDN w:val="0"/>
        <w:rPr>
          <w:rFonts w:eastAsia="Times New Roman" w:cs="Calibri"/>
          <w:sz w:val="24"/>
          <w:szCs w:val="24"/>
        </w:rPr>
        <w:sectPr w:rsidR="00501CFE" w:rsidSect="00501CFE">
          <w:type w:val="continuous"/>
          <w:pgSz w:w="11907" w:h="16839" w:code="9"/>
          <w:pgMar w:top="1440" w:right="1440" w:bottom="1440" w:left="1440" w:header="720" w:footer="720" w:gutter="0"/>
          <w:cols w:num="2" w:space="720"/>
          <w:docGrid w:linePitch="360"/>
        </w:sectPr>
      </w:pPr>
    </w:p>
    <w:p w14:paraId="58B37758" w14:textId="602CEB4A" w:rsidR="00501CFE" w:rsidRPr="00033BEA" w:rsidRDefault="00501CFE" w:rsidP="00501CFE">
      <w:pPr>
        <w:widowControl w:val="0"/>
        <w:autoSpaceDE w:val="0"/>
        <w:autoSpaceDN w:val="0"/>
        <w:rPr>
          <w:rFonts w:eastAsia="Times New Roman" w:cs="Calibri"/>
          <w:bCs/>
          <w:kern w:val="36"/>
          <w:sz w:val="24"/>
          <w:szCs w:val="24"/>
        </w:rPr>
      </w:pPr>
      <w:r w:rsidRPr="00033BEA">
        <w:rPr>
          <w:rFonts w:eastAsia="Times New Roman" w:cs="Calibri"/>
          <w:sz w:val="24"/>
          <w:szCs w:val="24"/>
        </w:rPr>
        <w:t xml:space="preserve"> </w:t>
      </w:r>
      <w:r w:rsidRPr="00033BEA">
        <w:rPr>
          <w:rFonts w:eastAsia="Times New Roman" w:cs="Calibri"/>
          <w:i/>
          <w:sz w:val="24"/>
          <w:szCs w:val="24"/>
        </w:rPr>
        <w:t xml:space="preserve"> </w:t>
      </w:r>
    </w:p>
    <w:p w14:paraId="77F64075"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noProof/>
          <w:sz w:val="24"/>
          <w:szCs w:val="24"/>
          <w:lang w:val="en-US" w:eastAsia="en-US"/>
        </w:rPr>
        <w:drawing>
          <wp:inline distT="0" distB="0" distL="0" distR="0" wp14:anchorId="0276EE54" wp14:editId="27A1AC36">
            <wp:extent cx="5943600" cy="3419475"/>
            <wp:effectExtent l="0" t="0" r="0" b="9525"/>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419475"/>
                    </a:xfrm>
                    <a:prstGeom prst="rect">
                      <a:avLst/>
                    </a:prstGeom>
                    <a:noFill/>
                    <a:ln>
                      <a:noFill/>
                    </a:ln>
                  </pic:spPr>
                </pic:pic>
              </a:graphicData>
            </a:graphic>
          </wp:inline>
        </w:drawing>
      </w:r>
    </w:p>
    <w:p w14:paraId="3D13D25F" w14:textId="77777777" w:rsidR="00501CFE" w:rsidRPr="00033BEA" w:rsidRDefault="00501CFE" w:rsidP="00501CFE">
      <w:pPr>
        <w:rPr>
          <w:rFonts w:eastAsia="Times New Roman" w:cs="Calibri"/>
          <w:b/>
          <w:bCs/>
          <w:sz w:val="24"/>
          <w:szCs w:val="24"/>
        </w:rPr>
      </w:pPr>
      <w:r w:rsidRPr="00033BEA">
        <w:rPr>
          <w:rFonts w:eastAsia="Times New Roman" w:cs="Calibri"/>
          <w:bCs/>
          <w:sz w:val="24"/>
          <w:szCs w:val="24"/>
        </w:rPr>
        <w:t xml:space="preserve">Figure 1.  Growth rate of </w:t>
      </w:r>
      <w:r w:rsidRPr="00033BEA">
        <w:rPr>
          <w:rFonts w:eastAsia="Times New Roman" w:cs="Calibri"/>
          <w:bCs/>
          <w:i/>
          <w:sz w:val="24"/>
          <w:szCs w:val="24"/>
        </w:rPr>
        <w:t>Scendesmus</w:t>
      </w:r>
      <w:r w:rsidRPr="00033BEA">
        <w:rPr>
          <w:rFonts w:eastAsia="Times New Roman" w:cs="Calibri"/>
          <w:bCs/>
          <w:sz w:val="24"/>
          <w:szCs w:val="24"/>
        </w:rPr>
        <w:t xml:space="preserve"> sp. in laboratory between December and January 2019.</w:t>
      </w:r>
      <w:r w:rsidRPr="00033BEA">
        <w:rPr>
          <w:rFonts w:eastAsia="Times New Roman" w:cs="Calibri"/>
          <w:b/>
          <w:bCs/>
          <w:sz w:val="24"/>
          <w:szCs w:val="24"/>
        </w:rPr>
        <w:t xml:space="preserve">  </w:t>
      </w:r>
    </w:p>
    <w:p w14:paraId="3C7A68BE" w14:textId="77777777" w:rsidR="00501CFE" w:rsidRPr="00033BEA" w:rsidRDefault="00501CFE" w:rsidP="00501CFE">
      <w:pPr>
        <w:widowControl w:val="0"/>
        <w:autoSpaceDE w:val="0"/>
        <w:autoSpaceDN w:val="0"/>
        <w:rPr>
          <w:rFonts w:eastAsia="Times New Roman" w:cs="Calibri"/>
          <w:b/>
          <w:bCs/>
          <w:sz w:val="24"/>
          <w:szCs w:val="24"/>
        </w:rPr>
      </w:pPr>
    </w:p>
    <w:p w14:paraId="3F111FE2" w14:textId="77777777" w:rsidR="00501CFE" w:rsidRPr="00033BEA" w:rsidRDefault="00501CFE" w:rsidP="00501CFE">
      <w:pPr>
        <w:widowControl w:val="0"/>
        <w:autoSpaceDE w:val="0"/>
        <w:autoSpaceDN w:val="0"/>
        <w:rPr>
          <w:rFonts w:eastAsia="Times New Roman" w:cs="Calibri"/>
          <w:b/>
          <w:bCs/>
          <w:sz w:val="24"/>
          <w:szCs w:val="24"/>
        </w:rPr>
      </w:pPr>
      <w:r w:rsidRPr="00033BEA">
        <w:rPr>
          <w:rFonts w:eastAsia="Times New Roman" w:cs="Calibri"/>
          <w:b/>
          <w:bCs/>
          <w:sz w:val="24"/>
          <w:szCs w:val="24"/>
        </w:rPr>
        <w:t>Phase</w:t>
      </w:r>
      <w:r w:rsidRPr="00033BEA">
        <w:rPr>
          <w:rFonts w:eastAsia="Times New Roman" w:cs="Calibri"/>
          <w:b/>
          <w:sz w:val="24"/>
          <w:szCs w:val="24"/>
        </w:rPr>
        <w:t xml:space="preserve"> II</w:t>
      </w:r>
      <w:r w:rsidRPr="00033BEA">
        <w:rPr>
          <w:rFonts w:eastAsia="Times New Roman" w:cs="Calibri"/>
          <w:b/>
          <w:bCs/>
          <w:sz w:val="24"/>
          <w:szCs w:val="24"/>
        </w:rPr>
        <w:t>:</w:t>
      </w:r>
      <w:r w:rsidRPr="00033BEA">
        <w:rPr>
          <w:rFonts w:eastAsia="Times New Roman" w:cs="Calibri"/>
          <w:b/>
          <w:bCs/>
          <w:i/>
          <w:sz w:val="24"/>
          <w:szCs w:val="24"/>
        </w:rPr>
        <w:t xml:space="preserve"> </w:t>
      </w:r>
      <w:r w:rsidRPr="00033BEA">
        <w:rPr>
          <w:rFonts w:eastAsia="Times New Roman" w:cs="Calibri"/>
          <w:b/>
          <w:bCs/>
          <w:sz w:val="24"/>
          <w:szCs w:val="24"/>
        </w:rPr>
        <w:t>Culture</w:t>
      </w:r>
      <w:r w:rsidRPr="00033BEA">
        <w:rPr>
          <w:rFonts w:eastAsia="Times New Roman" w:cs="Calibri"/>
          <w:b/>
          <w:bCs/>
          <w:i/>
          <w:sz w:val="24"/>
          <w:szCs w:val="24"/>
        </w:rPr>
        <w:t xml:space="preserve"> </w:t>
      </w:r>
      <w:r w:rsidRPr="00033BEA">
        <w:rPr>
          <w:rFonts w:eastAsia="Times New Roman" w:cs="Calibri"/>
          <w:b/>
          <w:bCs/>
          <w:iCs/>
          <w:sz w:val="24"/>
          <w:szCs w:val="24"/>
        </w:rPr>
        <w:t xml:space="preserve">of </w:t>
      </w:r>
      <w:r w:rsidRPr="00033BEA">
        <w:rPr>
          <w:rFonts w:eastAsia="Times New Roman" w:cs="Calibri"/>
          <w:b/>
          <w:bCs/>
          <w:i/>
          <w:sz w:val="24"/>
          <w:szCs w:val="24"/>
        </w:rPr>
        <w:t>Daphnia magna</w:t>
      </w:r>
    </w:p>
    <w:p w14:paraId="0F00F94C"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 xml:space="preserve">The absolute mean temperature and pH of culture medium for </w:t>
      </w:r>
      <w:r w:rsidRPr="00033BEA">
        <w:rPr>
          <w:rFonts w:eastAsia="Times New Roman" w:cs="Calibri"/>
          <w:i/>
          <w:iCs/>
          <w:sz w:val="24"/>
          <w:szCs w:val="24"/>
        </w:rPr>
        <w:t xml:space="preserve">D. magna </w:t>
      </w:r>
      <w:r w:rsidRPr="00033BEA">
        <w:rPr>
          <w:rFonts w:eastAsia="Times New Roman" w:cs="Calibri"/>
          <w:sz w:val="24"/>
          <w:szCs w:val="24"/>
        </w:rPr>
        <w:t xml:space="preserve">was maintained above 25 </w:t>
      </w:r>
      <w:r w:rsidRPr="00033BEA">
        <w:rPr>
          <w:rFonts w:eastAsia="Times New Roman" w:cs="Calibri"/>
          <w:sz w:val="24"/>
          <w:szCs w:val="24"/>
          <w:vertAlign w:val="superscript"/>
        </w:rPr>
        <w:t>°</w:t>
      </w:r>
      <w:r w:rsidRPr="00033BEA">
        <w:rPr>
          <w:rFonts w:eastAsia="Times New Roman" w:cs="Calibri"/>
          <w:sz w:val="24"/>
          <w:szCs w:val="24"/>
        </w:rPr>
        <w:t xml:space="preserve">C and 7, respectively. At a temperature of 25 </w:t>
      </w:r>
      <w:r w:rsidRPr="00033BEA">
        <w:rPr>
          <w:rFonts w:ascii="Cambria Math" w:eastAsia="MS Mincho" w:hAnsi="Cambria Math" w:cs="Cambria Math"/>
          <w:sz w:val="24"/>
          <w:szCs w:val="24"/>
        </w:rPr>
        <w:t>℃</w:t>
      </w:r>
      <w:r w:rsidRPr="00033BEA">
        <w:rPr>
          <w:rFonts w:eastAsia="Times New Roman" w:cs="Calibri"/>
          <w:sz w:val="24"/>
          <w:szCs w:val="24"/>
        </w:rPr>
        <w:t xml:space="preserve"> reproduction of </w:t>
      </w:r>
      <w:r w:rsidRPr="00033BEA">
        <w:rPr>
          <w:rFonts w:eastAsia="Times New Roman" w:cs="Calibri"/>
          <w:i/>
          <w:iCs/>
          <w:sz w:val="24"/>
          <w:szCs w:val="24"/>
        </w:rPr>
        <w:t>Daphnia</w:t>
      </w:r>
      <w:r w:rsidRPr="00033BEA">
        <w:rPr>
          <w:rFonts w:eastAsia="Times New Roman" w:cs="Calibri"/>
          <w:sz w:val="24"/>
          <w:szCs w:val="24"/>
        </w:rPr>
        <w:t xml:space="preserve"> sp. was good which is similar to the suggestion made by Castillo (1981). The pH of culture medium for most of the investigators who worked on D. </w:t>
      </w:r>
      <w:r w:rsidRPr="00033BEA">
        <w:rPr>
          <w:rFonts w:eastAsia="Times New Roman" w:cs="Calibri"/>
          <w:i/>
          <w:iCs/>
          <w:sz w:val="24"/>
          <w:szCs w:val="24"/>
        </w:rPr>
        <w:t>magna</w:t>
      </w:r>
      <w:r w:rsidRPr="00033BEA">
        <w:rPr>
          <w:rFonts w:eastAsia="Times New Roman" w:cs="Calibri"/>
          <w:sz w:val="24"/>
          <w:szCs w:val="24"/>
        </w:rPr>
        <w:t xml:space="preserve"> found that this animal does very well in pH of between 7.6 to 8.6 (Castillo 1981; Rottmann </w:t>
      </w:r>
      <w:r w:rsidRPr="00033BEA">
        <w:rPr>
          <w:rFonts w:eastAsia="Times New Roman" w:cs="Calibri"/>
          <w:i/>
          <w:sz w:val="24"/>
          <w:szCs w:val="24"/>
        </w:rPr>
        <w:t>et al</w:t>
      </w:r>
      <w:r w:rsidRPr="00033BEA">
        <w:rPr>
          <w:rFonts w:eastAsia="Times New Roman" w:cs="Calibri"/>
          <w:sz w:val="24"/>
          <w:szCs w:val="24"/>
        </w:rPr>
        <w:t xml:space="preserve"> 2011). The evaporated oxygen was greater than 3.5 mg/L and the ammonia level was less than 0.2 mg/L (Table 2). These results are important for the successful </w:t>
      </w:r>
      <w:r w:rsidRPr="00033BEA">
        <w:rPr>
          <w:rFonts w:eastAsia="Times New Roman" w:cs="Calibri"/>
          <w:iCs/>
          <w:sz w:val="24"/>
          <w:szCs w:val="24"/>
        </w:rPr>
        <w:t xml:space="preserve">culture of </w:t>
      </w:r>
      <w:r w:rsidRPr="00033BEA">
        <w:rPr>
          <w:rFonts w:eastAsia="Times New Roman" w:cs="Calibri"/>
          <w:i/>
          <w:iCs/>
          <w:sz w:val="24"/>
          <w:szCs w:val="24"/>
        </w:rPr>
        <w:t>Daphnia</w:t>
      </w:r>
      <w:r w:rsidRPr="00033BEA">
        <w:rPr>
          <w:rFonts w:eastAsia="Times New Roman" w:cs="Calibri"/>
          <w:iCs/>
          <w:sz w:val="24"/>
          <w:szCs w:val="24"/>
        </w:rPr>
        <w:t xml:space="preserve"> species</w:t>
      </w:r>
      <w:r w:rsidRPr="00033BEA">
        <w:rPr>
          <w:rFonts w:eastAsia="Times New Roman" w:cs="Calibri"/>
          <w:sz w:val="24"/>
          <w:szCs w:val="24"/>
        </w:rPr>
        <w:t xml:space="preserve"> (FAO 1996).</w:t>
      </w:r>
    </w:p>
    <w:p w14:paraId="33688412" w14:textId="77777777" w:rsidR="00501CFE" w:rsidRPr="00033BEA" w:rsidRDefault="00501CFE" w:rsidP="00501CFE">
      <w:pPr>
        <w:rPr>
          <w:rFonts w:eastAsia="Times New Roman" w:cs="Calibri"/>
          <w:sz w:val="24"/>
          <w:szCs w:val="24"/>
        </w:rPr>
      </w:pPr>
      <w:r w:rsidRPr="00033BEA">
        <w:rPr>
          <w:rFonts w:eastAsia="Times New Roman" w:cs="Calibri"/>
          <w:sz w:val="24"/>
          <w:szCs w:val="24"/>
        </w:rPr>
        <w:t>Table 2: The average of physicochemical parameters in Daphnia species cultivated media.</w:t>
      </w:r>
      <w:r w:rsidRPr="00033BEA" w:rsidDel="00B1625D">
        <w:rPr>
          <w:rFonts w:eastAsia="Times New Roman" w:cs="Calibri"/>
          <w:sz w:val="24"/>
          <w:szCs w:val="24"/>
        </w:rPr>
        <w:t xml:space="preserve"> </w:t>
      </w:r>
    </w:p>
    <w:tbl>
      <w:tblPr>
        <w:tblW w:w="9236" w:type="dxa"/>
        <w:tblLayout w:type="fixed"/>
        <w:tblLook w:val="04A0" w:firstRow="1" w:lastRow="0" w:firstColumn="1" w:lastColumn="0" w:noHBand="0" w:noVBand="1"/>
      </w:tblPr>
      <w:tblGrid>
        <w:gridCol w:w="1037"/>
        <w:gridCol w:w="1141"/>
        <w:gridCol w:w="1802"/>
        <w:gridCol w:w="1276"/>
        <w:gridCol w:w="1134"/>
        <w:gridCol w:w="1418"/>
        <w:gridCol w:w="1428"/>
      </w:tblGrid>
      <w:tr w:rsidR="00501CFE" w:rsidRPr="00033BEA" w14:paraId="1744CD4C" w14:textId="77777777" w:rsidTr="00C0606A">
        <w:tc>
          <w:tcPr>
            <w:tcW w:w="1037" w:type="dxa"/>
            <w:tcBorders>
              <w:top w:val="single" w:sz="4" w:space="0" w:color="auto"/>
              <w:bottom w:val="single" w:sz="4" w:space="0" w:color="auto"/>
            </w:tcBorders>
            <w:vAlign w:val="center"/>
          </w:tcPr>
          <w:p w14:paraId="4B9F6780"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Parameter</w:t>
            </w:r>
          </w:p>
        </w:tc>
        <w:tc>
          <w:tcPr>
            <w:tcW w:w="1141" w:type="dxa"/>
            <w:tcBorders>
              <w:top w:val="single" w:sz="4" w:space="0" w:color="auto"/>
              <w:bottom w:val="single" w:sz="4" w:space="0" w:color="auto"/>
            </w:tcBorders>
            <w:vAlign w:val="center"/>
          </w:tcPr>
          <w:p w14:paraId="3D5285D9"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T (</w:t>
            </w:r>
            <w:r w:rsidRPr="00033BEA">
              <w:rPr>
                <w:rFonts w:eastAsia="Times New Roman" w:cs="Calibri"/>
                <w:sz w:val="24"/>
                <w:szCs w:val="24"/>
                <w:vertAlign w:val="superscript"/>
              </w:rPr>
              <w:t>O</w:t>
            </w:r>
            <w:r w:rsidRPr="00033BEA">
              <w:rPr>
                <w:rFonts w:eastAsia="Times New Roman" w:cs="Calibri"/>
                <w:sz w:val="24"/>
                <w:szCs w:val="24"/>
              </w:rPr>
              <w:t>C)</w:t>
            </w:r>
          </w:p>
        </w:tc>
        <w:tc>
          <w:tcPr>
            <w:tcW w:w="1802" w:type="dxa"/>
            <w:tcBorders>
              <w:top w:val="single" w:sz="4" w:space="0" w:color="auto"/>
              <w:bottom w:val="single" w:sz="4" w:space="0" w:color="auto"/>
            </w:tcBorders>
            <w:vAlign w:val="center"/>
          </w:tcPr>
          <w:p w14:paraId="21E5A256"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 xml:space="preserve">Sp. Cond </w:t>
            </w:r>
          </w:p>
          <w:p w14:paraId="0191822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(µs/cm</w:t>
            </w:r>
            <w:r w:rsidRPr="00033BEA">
              <w:rPr>
                <w:rFonts w:eastAsia="Times New Roman" w:cs="Calibri"/>
                <w:sz w:val="24"/>
                <w:szCs w:val="24"/>
                <w:vertAlign w:val="superscript"/>
              </w:rPr>
              <w:t>2</w:t>
            </w:r>
            <w:r w:rsidRPr="00033BEA">
              <w:rPr>
                <w:rFonts w:eastAsia="Times New Roman" w:cs="Calibri"/>
                <w:sz w:val="24"/>
                <w:szCs w:val="24"/>
              </w:rPr>
              <w:t>)</w:t>
            </w:r>
          </w:p>
        </w:tc>
        <w:tc>
          <w:tcPr>
            <w:tcW w:w="1276" w:type="dxa"/>
            <w:tcBorders>
              <w:top w:val="single" w:sz="4" w:space="0" w:color="auto"/>
              <w:bottom w:val="single" w:sz="4" w:space="0" w:color="auto"/>
            </w:tcBorders>
            <w:vAlign w:val="center"/>
          </w:tcPr>
          <w:p w14:paraId="463BD66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 xml:space="preserve">TDS </w:t>
            </w:r>
          </w:p>
          <w:p w14:paraId="009C45DF"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134" w:type="dxa"/>
            <w:tcBorders>
              <w:top w:val="single" w:sz="4" w:space="0" w:color="auto"/>
              <w:bottom w:val="single" w:sz="4" w:space="0" w:color="auto"/>
            </w:tcBorders>
            <w:vAlign w:val="center"/>
          </w:tcPr>
          <w:p w14:paraId="063139E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Salinity (ppt)</w:t>
            </w:r>
          </w:p>
        </w:tc>
        <w:tc>
          <w:tcPr>
            <w:tcW w:w="1418" w:type="dxa"/>
            <w:tcBorders>
              <w:top w:val="single" w:sz="4" w:space="0" w:color="auto"/>
              <w:bottom w:val="single" w:sz="4" w:space="0" w:color="auto"/>
            </w:tcBorders>
            <w:vAlign w:val="center"/>
          </w:tcPr>
          <w:p w14:paraId="29872E1C"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DO</w:t>
            </w:r>
          </w:p>
          <w:p w14:paraId="4200A95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428" w:type="dxa"/>
            <w:tcBorders>
              <w:top w:val="single" w:sz="4" w:space="0" w:color="auto"/>
              <w:bottom w:val="single" w:sz="4" w:space="0" w:color="auto"/>
            </w:tcBorders>
            <w:vAlign w:val="center"/>
          </w:tcPr>
          <w:p w14:paraId="2E6C9960"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pH</w:t>
            </w:r>
          </w:p>
        </w:tc>
      </w:tr>
      <w:tr w:rsidR="00501CFE" w:rsidRPr="00033BEA" w14:paraId="6D233F6A" w14:textId="77777777" w:rsidTr="00C0606A">
        <w:tc>
          <w:tcPr>
            <w:tcW w:w="1037" w:type="dxa"/>
            <w:tcBorders>
              <w:top w:val="single" w:sz="4" w:space="0" w:color="auto"/>
              <w:bottom w:val="single" w:sz="4" w:space="0" w:color="auto"/>
            </w:tcBorders>
          </w:tcPr>
          <w:p w14:paraId="458492C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 xml:space="preserve">Mean±SD </w:t>
            </w:r>
          </w:p>
        </w:tc>
        <w:tc>
          <w:tcPr>
            <w:tcW w:w="1141" w:type="dxa"/>
            <w:tcBorders>
              <w:top w:val="single" w:sz="4" w:space="0" w:color="auto"/>
              <w:bottom w:val="single" w:sz="4" w:space="0" w:color="auto"/>
            </w:tcBorders>
          </w:tcPr>
          <w:p w14:paraId="09FFE903"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25.70±1.26</w:t>
            </w:r>
          </w:p>
          <w:p w14:paraId="399AD036" w14:textId="77777777" w:rsidR="00501CFE" w:rsidRPr="00033BEA" w:rsidRDefault="00501CFE" w:rsidP="00C0606A">
            <w:pPr>
              <w:widowControl w:val="0"/>
              <w:autoSpaceDE w:val="0"/>
              <w:autoSpaceDN w:val="0"/>
              <w:rPr>
                <w:rFonts w:eastAsia="Times New Roman" w:cs="Calibri"/>
                <w:sz w:val="24"/>
                <w:szCs w:val="24"/>
              </w:rPr>
            </w:pPr>
          </w:p>
        </w:tc>
        <w:tc>
          <w:tcPr>
            <w:tcW w:w="1802" w:type="dxa"/>
            <w:tcBorders>
              <w:top w:val="single" w:sz="4" w:space="0" w:color="auto"/>
              <w:bottom w:val="single" w:sz="4" w:space="0" w:color="auto"/>
            </w:tcBorders>
          </w:tcPr>
          <w:p w14:paraId="03328355"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166.5±111.02</w:t>
            </w:r>
          </w:p>
        </w:tc>
        <w:tc>
          <w:tcPr>
            <w:tcW w:w="1276" w:type="dxa"/>
            <w:tcBorders>
              <w:top w:val="single" w:sz="4" w:space="0" w:color="auto"/>
              <w:bottom w:val="single" w:sz="4" w:space="0" w:color="auto"/>
            </w:tcBorders>
          </w:tcPr>
          <w:p w14:paraId="43E513F1"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327.5±272.5</w:t>
            </w:r>
          </w:p>
        </w:tc>
        <w:tc>
          <w:tcPr>
            <w:tcW w:w="1134" w:type="dxa"/>
            <w:tcBorders>
              <w:top w:val="single" w:sz="4" w:space="0" w:color="auto"/>
              <w:bottom w:val="single" w:sz="4" w:space="0" w:color="auto"/>
            </w:tcBorders>
          </w:tcPr>
          <w:p w14:paraId="463AEA0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0.08±0.06</w:t>
            </w:r>
          </w:p>
        </w:tc>
        <w:tc>
          <w:tcPr>
            <w:tcW w:w="1418" w:type="dxa"/>
            <w:tcBorders>
              <w:top w:val="single" w:sz="4" w:space="0" w:color="auto"/>
              <w:bottom w:val="single" w:sz="4" w:space="0" w:color="auto"/>
            </w:tcBorders>
          </w:tcPr>
          <w:p w14:paraId="5D3016F5"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4.54±0.64</w:t>
            </w:r>
          </w:p>
        </w:tc>
        <w:tc>
          <w:tcPr>
            <w:tcW w:w="1428" w:type="dxa"/>
            <w:tcBorders>
              <w:top w:val="single" w:sz="4" w:space="0" w:color="auto"/>
              <w:bottom w:val="single" w:sz="4" w:space="0" w:color="auto"/>
            </w:tcBorders>
          </w:tcPr>
          <w:p w14:paraId="18ED92B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7.63±0.03</w:t>
            </w:r>
          </w:p>
        </w:tc>
      </w:tr>
      <w:tr w:rsidR="00501CFE" w:rsidRPr="00033BEA" w14:paraId="72176E89" w14:textId="77777777" w:rsidTr="00C0606A">
        <w:tc>
          <w:tcPr>
            <w:tcW w:w="1037" w:type="dxa"/>
            <w:tcBorders>
              <w:top w:val="single" w:sz="4" w:space="0" w:color="auto"/>
              <w:bottom w:val="single" w:sz="4" w:space="0" w:color="auto"/>
            </w:tcBorders>
            <w:vAlign w:val="center"/>
          </w:tcPr>
          <w:p w14:paraId="7C44AEC7"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Parameter</w:t>
            </w:r>
          </w:p>
        </w:tc>
        <w:tc>
          <w:tcPr>
            <w:tcW w:w="1141" w:type="dxa"/>
            <w:tcBorders>
              <w:top w:val="single" w:sz="4" w:space="0" w:color="auto"/>
              <w:bottom w:val="single" w:sz="4" w:space="0" w:color="auto"/>
            </w:tcBorders>
            <w:vAlign w:val="center"/>
          </w:tcPr>
          <w:p w14:paraId="71F2106F"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NH</w:t>
            </w:r>
            <w:r w:rsidRPr="00033BEA">
              <w:rPr>
                <w:rFonts w:eastAsia="Times New Roman" w:cs="Calibri"/>
                <w:sz w:val="24"/>
                <w:szCs w:val="24"/>
                <w:vertAlign w:val="subscript"/>
              </w:rPr>
              <w:t>3</w:t>
            </w:r>
            <w:r w:rsidRPr="00033BEA">
              <w:rPr>
                <w:rFonts w:eastAsia="Times New Roman" w:cs="Calibri"/>
                <w:sz w:val="24"/>
                <w:szCs w:val="24"/>
              </w:rPr>
              <w:t xml:space="preserve"> (mg/L)</w:t>
            </w:r>
          </w:p>
        </w:tc>
        <w:tc>
          <w:tcPr>
            <w:tcW w:w="1802" w:type="dxa"/>
            <w:tcBorders>
              <w:top w:val="single" w:sz="4" w:space="0" w:color="auto"/>
              <w:bottom w:val="single" w:sz="4" w:space="0" w:color="auto"/>
            </w:tcBorders>
            <w:vAlign w:val="center"/>
          </w:tcPr>
          <w:p w14:paraId="6E6D742C"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PO</w:t>
            </w:r>
            <w:r w:rsidRPr="00033BEA">
              <w:rPr>
                <w:rFonts w:eastAsia="Times New Roman" w:cs="Calibri"/>
                <w:sz w:val="24"/>
                <w:szCs w:val="24"/>
                <w:vertAlign w:val="subscript"/>
              </w:rPr>
              <w:t>4</w:t>
            </w:r>
            <w:r w:rsidRPr="00033BEA">
              <w:rPr>
                <w:rFonts w:eastAsia="Times New Roman" w:cs="Calibri"/>
                <w:sz w:val="24"/>
                <w:szCs w:val="24"/>
              </w:rPr>
              <w:t xml:space="preserve"> </w:t>
            </w:r>
          </w:p>
          <w:p w14:paraId="780EB3F1"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276" w:type="dxa"/>
            <w:tcBorders>
              <w:top w:val="single" w:sz="4" w:space="0" w:color="auto"/>
              <w:bottom w:val="single" w:sz="4" w:space="0" w:color="auto"/>
            </w:tcBorders>
            <w:vAlign w:val="center"/>
          </w:tcPr>
          <w:p w14:paraId="671A1D6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NO</w:t>
            </w:r>
            <w:r w:rsidRPr="00033BEA">
              <w:rPr>
                <w:rFonts w:eastAsia="Times New Roman" w:cs="Calibri"/>
                <w:sz w:val="24"/>
                <w:szCs w:val="24"/>
                <w:vertAlign w:val="subscript"/>
              </w:rPr>
              <w:t>3</w:t>
            </w:r>
            <w:r w:rsidRPr="00033BEA">
              <w:rPr>
                <w:rFonts w:eastAsia="Times New Roman" w:cs="Calibri"/>
                <w:sz w:val="24"/>
                <w:szCs w:val="24"/>
              </w:rPr>
              <w:t xml:space="preserve"> </w:t>
            </w:r>
          </w:p>
          <w:p w14:paraId="6FE71E8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134" w:type="dxa"/>
            <w:tcBorders>
              <w:top w:val="single" w:sz="4" w:space="0" w:color="auto"/>
              <w:bottom w:val="single" w:sz="4" w:space="0" w:color="auto"/>
            </w:tcBorders>
            <w:vAlign w:val="center"/>
          </w:tcPr>
          <w:p w14:paraId="108B3BFF" w14:textId="77777777" w:rsidR="00501CFE" w:rsidRPr="00033BEA" w:rsidRDefault="00501CFE" w:rsidP="00C0606A">
            <w:pPr>
              <w:widowControl w:val="0"/>
              <w:autoSpaceDE w:val="0"/>
              <w:autoSpaceDN w:val="0"/>
              <w:rPr>
                <w:rFonts w:eastAsia="Times New Roman" w:cs="Calibri"/>
                <w:sz w:val="24"/>
                <w:szCs w:val="24"/>
                <w:vertAlign w:val="subscript"/>
              </w:rPr>
            </w:pPr>
            <w:r w:rsidRPr="00033BEA">
              <w:rPr>
                <w:rFonts w:eastAsia="Times New Roman" w:cs="Calibri"/>
                <w:sz w:val="24"/>
                <w:szCs w:val="24"/>
              </w:rPr>
              <w:t>NO</w:t>
            </w:r>
            <w:r w:rsidRPr="00033BEA">
              <w:rPr>
                <w:rFonts w:eastAsia="Times New Roman" w:cs="Calibri"/>
                <w:sz w:val="24"/>
                <w:szCs w:val="24"/>
                <w:vertAlign w:val="subscript"/>
              </w:rPr>
              <w:t>2</w:t>
            </w:r>
          </w:p>
          <w:p w14:paraId="48897164"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418" w:type="dxa"/>
            <w:tcBorders>
              <w:top w:val="single" w:sz="4" w:space="0" w:color="auto"/>
              <w:bottom w:val="single" w:sz="4" w:space="0" w:color="auto"/>
            </w:tcBorders>
            <w:vAlign w:val="center"/>
          </w:tcPr>
          <w:p w14:paraId="5BCFD54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Total hardness</w:t>
            </w:r>
          </w:p>
          <w:p w14:paraId="4F36F23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 CaCO</w:t>
            </w:r>
            <w:r w:rsidRPr="00033BEA">
              <w:rPr>
                <w:rFonts w:eastAsia="Times New Roman" w:cs="Calibri"/>
                <w:sz w:val="24"/>
                <w:szCs w:val="24"/>
                <w:vertAlign w:val="subscript"/>
              </w:rPr>
              <w:t>3</w:t>
            </w:r>
            <w:r w:rsidRPr="00033BEA">
              <w:rPr>
                <w:rFonts w:eastAsia="Times New Roman" w:cs="Calibri"/>
                <w:sz w:val="24"/>
                <w:szCs w:val="24"/>
              </w:rPr>
              <w:t>)</w:t>
            </w:r>
          </w:p>
        </w:tc>
        <w:tc>
          <w:tcPr>
            <w:tcW w:w="1428" w:type="dxa"/>
            <w:tcBorders>
              <w:top w:val="single" w:sz="4" w:space="0" w:color="auto"/>
              <w:bottom w:val="single" w:sz="4" w:space="0" w:color="auto"/>
            </w:tcBorders>
            <w:vAlign w:val="center"/>
          </w:tcPr>
          <w:p w14:paraId="09F722D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Alkalinity</w:t>
            </w:r>
          </w:p>
          <w:p w14:paraId="69014DED"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 CaCO</w:t>
            </w:r>
            <w:r w:rsidRPr="00033BEA">
              <w:rPr>
                <w:rFonts w:eastAsia="Times New Roman" w:cs="Calibri"/>
                <w:sz w:val="24"/>
                <w:szCs w:val="24"/>
                <w:vertAlign w:val="subscript"/>
              </w:rPr>
              <w:t>3</w:t>
            </w:r>
            <w:r w:rsidRPr="00033BEA">
              <w:rPr>
                <w:rFonts w:eastAsia="Times New Roman" w:cs="Calibri"/>
                <w:sz w:val="24"/>
                <w:szCs w:val="24"/>
              </w:rPr>
              <w:t>)</w:t>
            </w:r>
          </w:p>
        </w:tc>
      </w:tr>
      <w:tr w:rsidR="00501CFE" w:rsidRPr="00033BEA" w14:paraId="1EE673D6" w14:textId="77777777" w:rsidTr="00C0606A">
        <w:tc>
          <w:tcPr>
            <w:tcW w:w="1037" w:type="dxa"/>
            <w:tcBorders>
              <w:top w:val="single" w:sz="4" w:space="0" w:color="auto"/>
              <w:bottom w:val="single" w:sz="4" w:space="0" w:color="auto"/>
            </w:tcBorders>
          </w:tcPr>
          <w:p w14:paraId="07F87E20"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Mean±SD</w:t>
            </w:r>
          </w:p>
        </w:tc>
        <w:tc>
          <w:tcPr>
            <w:tcW w:w="1141" w:type="dxa"/>
            <w:tcBorders>
              <w:top w:val="single" w:sz="4" w:space="0" w:color="auto"/>
              <w:bottom w:val="single" w:sz="4" w:space="0" w:color="auto"/>
            </w:tcBorders>
          </w:tcPr>
          <w:p w14:paraId="630B4AF1"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w:t>
            </w:r>
          </w:p>
        </w:tc>
        <w:tc>
          <w:tcPr>
            <w:tcW w:w="1802" w:type="dxa"/>
            <w:tcBorders>
              <w:top w:val="single" w:sz="4" w:space="0" w:color="auto"/>
              <w:bottom w:val="single" w:sz="4" w:space="0" w:color="auto"/>
            </w:tcBorders>
          </w:tcPr>
          <w:p w14:paraId="4346FE0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2.56±1.67</w:t>
            </w:r>
          </w:p>
        </w:tc>
        <w:tc>
          <w:tcPr>
            <w:tcW w:w="1276" w:type="dxa"/>
            <w:tcBorders>
              <w:top w:val="single" w:sz="4" w:space="0" w:color="auto"/>
              <w:bottom w:val="single" w:sz="4" w:space="0" w:color="auto"/>
            </w:tcBorders>
          </w:tcPr>
          <w:p w14:paraId="158C43C3"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4.4</w:t>
            </w:r>
          </w:p>
        </w:tc>
        <w:tc>
          <w:tcPr>
            <w:tcW w:w="1134" w:type="dxa"/>
            <w:tcBorders>
              <w:top w:val="single" w:sz="4" w:space="0" w:color="auto"/>
              <w:bottom w:val="single" w:sz="4" w:space="0" w:color="auto"/>
            </w:tcBorders>
          </w:tcPr>
          <w:p w14:paraId="411054ED"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0.84±1.14</w:t>
            </w:r>
          </w:p>
        </w:tc>
        <w:tc>
          <w:tcPr>
            <w:tcW w:w="1418" w:type="dxa"/>
            <w:tcBorders>
              <w:top w:val="single" w:sz="4" w:space="0" w:color="auto"/>
              <w:bottom w:val="single" w:sz="4" w:space="0" w:color="auto"/>
            </w:tcBorders>
          </w:tcPr>
          <w:p w14:paraId="2A96CDB5"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82.5±3.53</w:t>
            </w:r>
          </w:p>
        </w:tc>
        <w:tc>
          <w:tcPr>
            <w:tcW w:w="1428" w:type="dxa"/>
            <w:tcBorders>
              <w:top w:val="single" w:sz="4" w:space="0" w:color="auto"/>
              <w:bottom w:val="single" w:sz="4" w:space="0" w:color="auto"/>
            </w:tcBorders>
          </w:tcPr>
          <w:p w14:paraId="765E68C6"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60.5±6.36</w:t>
            </w:r>
          </w:p>
        </w:tc>
      </w:tr>
    </w:tbl>
    <w:p w14:paraId="09F68E9F" w14:textId="77777777" w:rsidR="00501CFE" w:rsidRPr="00033BEA" w:rsidRDefault="00501CFE" w:rsidP="00501CFE">
      <w:pPr>
        <w:widowControl w:val="0"/>
        <w:autoSpaceDE w:val="0"/>
        <w:autoSpaceDN w:val="0"/>
        <w:adjustRightInd w:val="0"/>
        <w:rPr>
          <w:rFonts w:eastAsia="Times New Roman" w:cs="Calibri"/>
          <w:iCs/>
          <w:sz w:val="24"/>
          <w:szCs w:val="24"/>
        </w:rPr>
      </w:pPr>
      <w:r w:rsidRPr="00033BEA">
        <w:rPr>
          <w:rFonts w:eastAsia="Times New Roman" w:cs="Calibri"/>
          <w:bCs/>
          <w:iCs/>
          <w:sz w:val="24"/>
          <w:szCs w:val="24"/>
        </w:rPr>
        <w:t xml:space="preserve">NB: </w:t>
      </w:r>
      <w:r w:rsidRPr="00033BEA">
        <w:rPr>
          <w:rFonts w:eastAsia="Times New Roman" w:cs="Calibri"/>
          <w:iCs/>
          <w:sz w:val="24"/>
          <w:szCs w:val="24"/>
        </w:rPr>
        <w:t>T (</w:t>
      </w:r>
      <w:r w:rsidRPr="00033BEA">
        <w:rPr>
          <w:rFonts w:ascii="Cambria Math" w:eastAsia="MS Mincho" w:hAnsi="Cambria Math" w:cs="Cambria Math"/>
          <w:iCs/>
          <w:sz w:val="24"/>
          <w:szCs w:val="24"/>
        </w:rPr>
        <w:t>℃</w:t>
      </w:r>
      <w:r w:rsidRPr="00033BEA">
        <w:rPr>
          <w:rFonts w:eastAsia="Times New Roman" w:cs="Calibri"/>
          <w:iCs/>
          <w:sz w:val="24"/>
          <w:szCs w:val="24"/>
        </w:rPr>
        <w:t>) = Temperature in degree Celsius, Sp. Cond (µs/cm</w:t>
      </w:r>
      <w:r w:rsidRPr="00033BEA">
        <w:rPr>
          <w:rFonts w:eastAsia="Times New Roman" w:cs="Calibri"/>
          <w:iCs/>
          <w:sz w:val="24"/>
          <w:szCs w:val="24"/>
          <w:vertAlign w:val="superscript"/>
        </w:rPr>
        <w:t>2</w:t>
      </w:r>
      <w:r w:rsidRPr="00033BEA">
        <w:rPr>
          <w:rFonts w:eastAsia="Times New Roman" w:cs="Calibri"/>
          <w:iCs/>
          <w:sz w:val="24"/>
          <w:szCs w:val="24"/>
        </w:rPr>
        <w:t>) = Specific conductivity in micro-Siemens per centimeter square, TDS (mg/L) = Total dissolved solids in milligram per litter, ppt = Parts per trillion, DO = Dissolved oxygen, NH</w:t>
      </w:r>
      <w:r w:rsidRPr="00033BEA">
        <w:rPr>
          <w:rFonts w:eastAsia="Times New Roman" w:cs="Calibri"/>
          <w:iCs/>
          <w:sz w:val="24"/>
          <w:szCs w:val="24"/>
          <w:vertAlign w:val="subscript"/>
        </w:rPr>
        <w:t xml:space="preserve">3 </w:t>
      </w:r>
      <w:r w:rsidRPr="00033BEA">
        <w:rPr>
          <w:rFonts w:eastAsia="Times New Roman" w:cs="Calibri"/>
          <w:iCs/>
          <w:sz w:val="24"/>
          <w:szCs w:val="24"/>
        </w:rPr>
        <w:t>= Ammonia, PO</w:t>
      </w:r>
      <w:r w:rsidRPr="00033BEA">
        <w:rPr>
          <w:rFonts w:eastAsia="Times New Roman" w:cs="Calibri"/>
          <w:iCs/>
          <w:sz w:val="24"/>
          <w:szCs w:val="24"/>
          <w:vertAlign w:val="subscript"/>
        </w:rPr>
        <w:t xml:space="preserve">4 </w:t>
      </w:r>
      <w:r w:rsidRPr="00033BEA">
        <w:rPr>
          <w:rFonts w:eastAsia="Times New Roman" w:cs="Calibri"/>
          <w:iCs/>
          <w:sz w:val="24"/>
          <w:szCs w:val="24"/>
        </w:rPr>
        <w:t>= Phosphate, NO</w:t>
      </w:r>
      <w:r w:rsidRPr="00033BEA">
        <w:rPr>
          <w:rFonts w:eastAsia="Times New Roman" w:cs="Calibri"/>
          <w:iCs/>
          <w:sz w:val="24"/>
          <w:szCs w:val="24"/>
          <w:vertAlign w:val="subscript"/>
        </w:rPr>
        <w:t xml:space="preserve">3 </w:t>
      </w:r>
      <w:r w:rsidRPr="00033BEA">
        <w:rPr>
          <w:rFonts w:eastAsia="Times New Roman" w:cs="Calibri"/>
          <w:iCs/>
          <w:sz w:val="24"/>
          <w:szCs w:val="24"/>
        </w:rPr>
        <w:t>= Nitrate, NO</w:t>
      </w:r>
      <w:r w:rsidRPr="00033BEA">
        <w:rPr>
          <w:rFonts w:eastAsia="Times New Roman" w:cs="Calibri"/>
          <w:iCs/>
          <w:sz w:val="24"/>
          <w:szCs w:val="24"/>
          <w:vertAlign w:val="subscript"/>
        </w:rPr>
        <w:t xml:space="preserve">2 </w:t>
      </w:r>
      <w:r w:rsidRPr="00033BEA">
        <w:rPr>
          <w:rFonts w:eastAsia="Times New Roman" w:cs="Calibri"/>
          <w:iCs/>
          <w:sz w:val="24"/>
          <w:szCs w:val="24"/>
        </w:rPr>
        <w:t>=</w:t>
      </w:r>
      <w:r w:rsidRPr="00033BEA">
        <w:rPr>
          <w:rFonts w:eastAsia="Times New Roman" w:cs="Calibri"/>
          <w:iCs/>
          <w:sz w:val="24"/>
          <w:szCs w:val="24"/>
          <w:vertAlign w:val="subscript"/>
        </w:rPr>
        <w:t xml:space="preserve"> </w:t>
      </w:r>
      <w:bookmarkStart w:id="7" w:name="_Hlk101938717"/>
      <w:r w:rsidRPr="00033BEA">
        <w:rPr>
          <w:rFonts w:eastAsia="Times New Roman" w:cs="Calibri"/>
          <w:iCs/>
          <w:sz w:val="24"/>
          <w:szCs w:val="24"/>
        </w:rPr>
        <w:t xml:space="preserve">Nitrite, </w:t>
      </w:r>
      <w:r w:rsidRPr="00033BEA">
        <w:rPr>
          <w:rFonts w:eastAsia="Times New Roman" w:cs="Calibri"/>
          <w:iCs/>
          <w:sz w:val="24"/>
          <w:szCs w:val="24"/>
          <w:vertAlign w:val="subscript"/>
        </w:rPr>
        <w:t>CaCO</w:t>
      </w:r>
      <w:r w:rsidRPr="00033BEA">
        <w:rPr>
          <w:rFonts w:eastAsia="Times New Roman" w:cs="Calibri"/>
          <w:sz w:val="24"/>
          <w:szCs w:val="24"/>
          <w:vertAlign w:val="subscript"/>
        </w:rPr>
        <w:t>3</w:t>
      </w:r>
      <w:r w:rsidRPr="00033BEA">
        <w:rPr>
          <w:rFonts w:eastAsia="Times New Roman" w:cs="Calibri"/>
          <w:sz w:val="24"/>
          <w:szCs w:val="24"/>
        </w:rPr>
        <w:t xml:space="preserve"> = Calcium carbonate</w:t>
      </w:r>
      <w:bookmarkEnd w:id="7"/>
    </w:p>
    <w:p w14:paraId="52CA0DE0" w14:textId="77777777" w:rsidR="00501CFE" w:rsidRPr="00033BEA" w:rsidRDefault="00501CFE" w:rsidP="00501CFE">
      <w:pPr>
        <w:widowControl w:val="0"/>
        <w:autoSpaceDE w:val="0"/>
        <w:autoSpaceDN w:val="0"/>
        <w:adjustRightInd w:val="0"/>
        <w:rPr>
          <w:rFonts w:eastAsia="Times New Roman" w:cs="Calibri"/>
          <w:iCs/>
          <w:sz w:val="24"/>
          <w:szCs w:val="24"/>
        </w:rPr>
      </w:pPr>
    </w:p>
    <w:p w14:paraId="7186D985" w14:textId="77777777" w:rsidR="00501CFE" w:rsidRDefault="00501CFE" w:rsidP="00501CFE">
      <w:pPr>
        <w:widowControl w:val="0"/>
        <w:autoSpaceDE w:val="0"/>
        <w:autoSpaceDN w:val="0"/>
        <w:rPr>
          <w:rFonts w:eastAsia="Times New Roman" w:cs="Calibri"/>
          <w:sz w:val="24"/>
          <w:szCs w:val="24"/>
        </w:rPr>
        <w:sectPr w:rsidR="00501CFE" w:rsidSect="00501CFE">
          <w:type w:val="continuous"/>
          <w:pgSz w:w="11907" w:h="16839" w:code="9"/>
          <w:pgMar w:top="1440" w:right="1440" w:bottom="1440" w:left="1440" w:header="720" w:footer="720" w:gutter="0"/>
          <w:cols w:space="720"/>
          <w:docGrid w:linePitch="360"/>
        </w:sectPr>
      </w:pPr>
    </w:p>
    <w:p w14:paraId="2C833958" w14:textId="03551157" w:rsidR="00501CFE" w:rsidRPr="00033BEA" w:rsidRDefault="00501CFE" w:rsidP="00501CFE">
      <w:pPr>
        <w:widowControl w:val="0"/>
        <w:autoSpaceDE w:val="0"/>
        <w:autoSpaceDN w:val="0"/>
        <w:rPr>
          <w:rFonts w:eastAsia="Times New Roman" w:cs="Calibri"/>
          <w:iCs/>
          <w:sz w:val="24"/>
          <w:szCs w:val="24"/>
        </w:rPr>
      </w:pPr>
      <w:r w:rsidRPr="00033BEA">
        <w:rPr>
          <w:rFonts w:eastAsia="Times New Roman" w:cs="Calibri"/>
          <w:sz w:val="24"/>
          <w:szCs w:val="24"/>
        </w:rPr>
        <w:lastRenderedPageBreak/>
        <w:t xml:space="preserve">The female </w:t>
      </w:r>
      <w:r w:rsidRPr="00033BEA">
        <w:rPr>
          <w:rFonts w:eastAsia="Times New Roman" w:cs="Calibri"/>
          <w:i/>
          <w:iCs/>
          <w:sz w:val="24"/>
          <w:szCs w:val="24"/>
        </w:rPr>
        <w:t>Daphnia</w:t>
      </w:r>
      <w:r w:rsidRPr="00033BEA">
        <w:rPr>
          <w:rFonts w:eastAsia="Times New Roman" w:cs="Calibri"/>
          <w:sz w:val="24"/>
          <w:szCs w:val="24"/>
        </w:rPr>
        <w:t xml:space="preserve"> species carried the highest number of eggs in its brood chamber, which was about 12 eggs per female.  Culture media conditions are favorable; the Daphnia species can produce up to 40 eggs in its brood chamber. During the experiment, resting eggs were discovered, which drastically reduced their reproductive and survival rates. As a result, food may become scarce, resulting in poor water quality (Castillo 1981). The number of </w:t>
      </w:r>
      <w:r w:rsidRPr="00033BEA">
        <w:rPr>
          <w:rFonts w:eastAsia="Times New Roman" w:cs="Calibri"/>
          <w:i/>
          <w:sz w:val="24"/>
          <w:szCs w:val="24"/>
        </w:rPr>
        <w:t>D. magna</w:t>
      </w:r>
      <w:r w:rsidRPr="00033BEA">
        <w:rPr>
          <w:rFonts w:eastAsia="Times New Roman" w:cs="Calibri"/>
          <w:sz w:val="24"/>
          <w:szCs w:val="24"/>
        </w:rPr>
        <w:t xml:space="preserve"> increased from day (5) to a maximum level (20 days) during count by using a microscope in the laboratory but, after 20 days it started to drop off (Figure 2). The maximum number of </w:t>
      </w:r>
      <w:r w:rsidRPr="00033BEA">
        <w:rPr>
          <w:rFonts w:eastAsia="Times New Roman" w:cs="Calibri"/>
          <w:i/>
          <w:sz w:val="24"/>
          <w:szCs w:val="24"/>
        </w:rPr>
        <w:t>Daphnia</w:t>
      </w:r>
      <w:r w:rsidRPr="00033BEA">
        <w:rPr>
          <w:rFonts w:eastAsia="Times New Roman" w:cs="Calibri"/>
          <w:sz w:val="24"/>
          <w:szCs w:val="24"/>
        </w:rPr>
        <w:t xml:space="preserve"> sp. in both cultures was in the range of 200-870.  Eight hundred seventy (870) and two hundred (200) </w:t>
      </w:r>
      <w:r w:rsidRPr="00033BEA">
        <w:rPr>
          <w:rFonts w:eastAsia="Times New Roman" w:cs="Calibri"/>
          <w:i/>
          <w:sz w:val="24"/>
          <w:szCs w:val="24"/>
        </w:rPr>
        <w:t xml:space="preserve">D. magna </w:t>
      </w:r>
      <w:r w:rsidRPr="00033BEA">
        <w:rPr>
          <w:rFonts w:eastAsia="Times New Roman" w:cs="Calibri"/>
          <w:sz w:val="24"/>
          <w:szCs w:val="24"/>
        </w:rPr>
        <w:t>were recorded at treatment 1 (50 ml</w:t>
      </w:r>
      <w:r w:rsidRPr="00033BEA">
        <w:rPr>
          <w:rFonts w:eastAsia="Times New Roman" w:cs="Calibri"/>
          <w:b/>
          <w:i/>
          <w:sz w:val="24"/>
          <w:szCs w:val="24"/>
        </w:rPr>
        <w:t xml:space="preserve"> </w:t>
      </w:r>
      <w:r w:rsidRPr="00033BEA">
        <w:rPr>
          <w:rFonts w:eastAsia="Times New Roman" w:cs="Calibri"/>
          <w:i/>
          <w:sz w:val="24"/>
          <w:szCs w:val="24"/>
        </w:rPr>
        <w:t>Scendesmus</w:t>
      </w:r>
      <w:r w:rsidRPr="00033BEA">
        <w:rPr>
          <w:rFonts w:eastAsia="Times New Roman" w:cs="Calibri"/>
          <w:sz w:val="24"/>
          <w:szCs w:val="24"/>
        </w:rPr>
        <w:t xml:space="preserve"> sp algae provided) and treatment 2(50 ml</w:t>
      </w:r>
      <w:r w:rsidRPr="00033BEA">
        <w:rPr>
          <w:rFonts w:eastAsia="Times New Roman" w:cs="Calibri"/>
          <w:b/>
          <w:i/>
          <w:sz w:val="24"/>
          <w:szCs w:val="24"/>
        </w:rPr>
        <w:t xml:space="preserve"> </w:t>
      </w:r>
      <w:r w:rsidRPr="00033BEA">
        <w:rPr>
          <w:rFonts w:eastAsia="Times New Roman" w:cs="Calibri"/>
          <w:sz w:val="24"/>
          <w:szCs w:val="24"/>
        </w:rPr>
        <w:t xml:space="preserve">algae </w:t>
      </w:r>
      <w:r w:rsidRPr="00033BEA">
        <w:rPr>
          <w:rFonts w:eastAsia="Times New Roman" w:cs="Calibri"/>
          <w:sz w:val="24"/>
          <w:szCs w:val="24"/>
        </w:rPr>
        <w:t>from pond provided</w:t>
      </w:r>
      <w:r w:rsidRPr="00033BEA">
        <w:rPr>
          <w:rFonts w:eastAsia="Times New Roman" w:cs="Calibri"/>
          <w:b/>
          <w:sz w:val="24"/>
          <w:szCs w:val="24"/>
        </w:rPr>
        <w:t>)</w:t>
      </w:r>
      <w:r w:rsidRPr="00033BEA">
        <w:rPr>
          <w:rFonts w:eastAsia="Times New Roman" w:cs="Calibri"/>
          <w:sz w:val="24"/>
          <w:szCs w:val="24"/>
        </w:rPr>
        <w:t xml:space="preserve">, respectively in 300 ml plastic vessels in laboratory. The number of </w:t>
      </w:r>
      <w:r w:rsidRPr="00033BEA">
        <w:rPr>
          <w:rFonts w:eastAsia="Times New Roman" w:cs="Calibri"/>
          <w:i/>
          <w:sz w:val="24"/>
          <w:szCs w:val="24"/>
        </w:rPr>
        <w:t>D. magna</w:t>
      </w:r>
      <w:r w:rsidRPr="00033BEA">
        <w:rPr>
          <w:rFonts w:eastAsia="Times New Roman" w:cs="Calibri"/>
          <w:sz w:val="24"/>
          <w:szCs w:val="24"/>
        </w:rPr>
        <w:t xml:space="preserve"> in treatment 1 was greater than treatment 2 (Figure 3)</w:t>
      </w:r>
      <w:r w:rsidRPr="00033BEA">
        <w:rPr>
          <w:rFonts w:eastAsia="Times New Roman" w:cs="Calibri"/>
          <w:i/>
          <w:sz w:val="24"/>
          <w:szCs w:val="24"/>
        </w:rPr>
        <w:t>.</w:t>
      </w:r>
      <w:r w:rsidRPr="00033BEA">
        <w:rPr>
          <w:rFonts w:eastAsia="Times New Roman" w:cs="Calibri"/>
          <w:sz w:val="24"/>
          <w:szCs w:val="24"/>
        </w:rPr>
        <w:t xml:space="preserve"> Statistical analysis showed significant difference between the two experiments (One-way ANOVA; P &lt; 0.05).</w:t>
      </w:r>
      <w:r w:rsidRPr="00033BEA">
        <w:rPr>
          <w:rFonts w:eastAsia="Times New Roman" w:cs="Calibri"/>
          <w:iCs/>
          <w:sz w:val="24"/>
          <w:szCs w:val="24"/>
        </w:rPr>
        <w:t xml:space="preserve"> </w:t>
      </w:r>
      <w:r w:rsidRPr="00033BEA">
        <w:rPr>
          <w:rFonts w:eastAsia="Times New Roman" w:cs="Calibri"/>
          <w:sz w:val="24"/>
          <w:szCs w:val="24"/>
        </w:rPr>
        <w:t xml:space="preserve">The difference in the number of </w:t>
      </w:r>
      <w:r w:rsidRPr="00033BEA">
        <w:rPr>
          <w:rFonts w:eastAsia="Times New Roman" w:cs="Calibri"/>
          <w:i/>
          <w:iCs/>
          <w:sz w:val="24"/>
          <w:szCs w:val="24"/>
        </w:rPr>
        <w:t xml:space="preserve">D. magna </w:t>
      </w:r>
      <w:r w:rsidRPr="00033BEA">
        <w:rPr>
          <w:rFonts w:eastAsia="Times New Roman" w:cs="Calibri"/>
          <w:iCs/>
          <w:sz w:val="24"/>
          <w:szCs w:val="24"/>
        </w:rPr>
        <w:t>species</w:t>
      </w:r>
      <w:r w:rsidRPr="00033BEA">
        <w:rPr>
          <w:rFonts w:eastAsia="Times New Roman" w:cs="Calibri"/>
          <w:i/>
          <w:iCs/>
          <w:sz w:val="24"/>
          <w:szCs w:val="24"/>
        </w:rPr>
        <w:t xml:space="preserve"> </w:t>
      </w:r>
      <w:r w:rsidRPr="00033BEA">
        <w:rPr>
          <w:rFonts w:eastAsia="Times New Roman" w:cs="Calibri"/>
          <w:sz w:val="24"/>
          <w:szCs w:val="24"/>
        </w:rPr>
        <w:t xml:space="preserve">between the two treatments may be due to the difference in </w:t>
      </w:r>
      <w:r w:rsidRPr="00033BEA">
        <w:rPr>
          <w:rFonts w:eastAsia="Times New Roman" w:cs="Calibri"/>
          <w:iCs/>
          <w:sz w:val="24"/>
          <w:szCs w:val="24"/>
        </w:rPr>
        <w:t>algal species and water quality that determined</w:t>
      </w:r>
      <w:r w:rsidRPr="00033BEA">
        <w:rPr>
          <w:rFonts w:eastAsia="Times New Roman" w:cs="Calibri"/>
          <w:i/>
          <w:iCs/>
          <w:sz w:val="24"/>
          <w:szCs w:val="24"/>
        </w:rPr>
        <w:t xml:space="preserve"> D. magna’s </w:t>
      </w:r>
      <w:r w:rsidRPr="00033BEA">
        <w:rPr>
          <w:rFonts w:eastAsia="Times New Roman" w:cs="Calibri"/>
          <w:sz w:val="24"/>
          <w:szCs w:val="24"/>
        </w:rPr>
        <w:t>growth</w:t>
      </w:r>
      <w:r w:rsidRPr="00033BEA">
        <w:rPr>
          <w:rFonts w:eastAsia="Times New Roman" w:cs="Calibri"/>
          <w:iCs/>
          <w:sz w:val="24"/>
          <w:szCs w:val="24"/>
        </w:rPr>
        <w:t xml:space="preserve"> and harvestable biomass of D. magna (FAO 1996;</w:t>
      </w:r>
      <w:r w:rsidRPr="00033BEA">
        <w:rPr>
          <w:rFonts w:eastAsia="Times New Roman" w:cs="Calibri"/>
          <w:sz w:val="24"/>
          <w:szCs w:val="24"/>
        </w:rPr>
        <w:t xml:space="preserve"> Kraul 1989)</w:t>
      </w:r>
      <w:r w:rsidRPr="00033BEA">
        <w:rPr>
          <w:rFonts w:eastAsia="Times New Roman" w:cs="Calibri"/>
          <w:iCs/>
          <w:sz w:val="24"/>
          <w:szCs w:val="24"/>
        </w:rPr>
        <w:t xml:space="preserve">. </w:t>
      </w:r>
      <w:r w:rsidRPr="00033BEA">
        <w:rPr>
          <w:rFonts w:eastAsia="Times New Roman" w:cs="Calibri"/>
          <w:sz w:val="24"/>
          <w:szCs w:val="24"/>
        </w:rPr>
        <w:t xml:space="preserve">The algae identified by using compound microscope (Olympus, Japan, serial number 1L0068). The identified species of blue green algae were </w:t>
      </w:r>
      <w:r w:rsidRPr="00033BEA">
        <w:rPr>
          <w:rFonts w:eastAsia="Times New Roman" w:cs="Calibri"/>
          <w:i/>
          <w:iCs/>
          <w:sz w:val="24"/>
          <w:szCs w:val="24"/>
        </w:rPr>
        <w:t xml:space="preserve">Microcystis </w:t>
      </w:r>
      <w:r w:rsidRPr="00033BEA">
        <w:rPr>
          <w:rFonts w:eastAsia="Times New Roman" w:cs="Calibri"/>
          <w:iCs/>
          <w:sz w:val="24"/>
          <w:szCs w:val="24"/>
        </w:rPr>
        <w:t>sp.</w:t>
      </w:r>
      <w:r w:rsidRPr="00033BEA">
        <w:rPr>
          <w:rFonts w:eastAsia="Times New Roman" w:cs="Calibri"/>
          <w:i/>
          <w:iCs/>
          <w:sz w:val="24"/>
          <w:szCs w:val="24"/>
        </w:rPr>
        <w:t xml:space="preserve"> </w:t>
      </w:r>
      <w:r w:rsidRPr="00033BEA">
        <w:rPr>
          <w:rFonts w:eastAsia="Times New Roman" w:cs="Calibri"/>
          <w:iCs/>
          <w:sz w:val="24"/>
          <w:szCs w:val="24"/>
        </w:rPr>
        <w:t xml:space="preserve">and </w:t>
      </w:r>
      <w:r w:rsidRPr="00033BEA">
        <w:rPr>
          <w:rFonts w:eastAsia="Times New Roman" w:cs="Calibri"/>
          <w:i/>
          <w:iCs/>
          <w:sz w:val="24"/>
          <w:szCs w:val="24"/>
        </w:rPr>
        <w:t xml:space="preserve">Anabaena </w:t>
      </w:r>
      <w:r w:rsidRPr="00033BEA">
        <w:rPr>
          <w:rFonts w:eastAsia="Times New Roman" w:cs="Calibri"/>
          <w:iCs/>
          <w:sz w:val="24"/>
          <w:szCs w:val="24"/>
        </w:rPr>
        <w:t xml:space="preserve">sp. This situation may reduce ingestion, assimilation, survival rate and reproduction of </w:t>
      </w:r>
      <w:r w:rsidRPr="00033BEA">
        <w:rPr>
          <w:rFonts w:eastAsia="Times New Roman" w:cs="Calibri"/>
          <w:i/>
          <w:iCs/>
          <w:sz w:val="24"/>
          <w:szCs w:val="24"/>
        </w:rPr>
        <w:t xml:space="preserve">Daphnia </w:t>
      </w:r>
      <w:r w:rsidRPr="00033BEA">
        <w:rPr>
          <w:rFonts w:eastAsia="Times New Roman" w:cs="Calibri"/>
          <w:iCs/>
          <w:sz w:val="24"/>
          <w:szCs w:val="24"/>
        </w:rPr>
        <w:t>sp. (</w:t>
      </w:r>
      <w:r w:rsidRPr="00033BEA">
        <w:rPr>
          <w:rFonts w:eastAsia="Times New Roman" w:cs="Calibri"/>
          <w:sz w:val="24"/>
          <w:szCs w:val="24"/>
        </w:rPr>
        <w:t>Castillo 1981)</w:t>
      </w:r>
      <w:r w:rsidRPr="00033BEA">
        <w:rPr>
          <w:rFonts w:eastAsia="Times New Roman" w:cs="Calibri"/>
          <w:iCs/>
          <w:sz w:val="24"/>
          <w:szCs w:val="24"/>
        </w:rPr>
        <w:t>.</w:t>
      </w:r>
    </w:p>
    <w:p w14:paraId="6F758587" w14:textId="77777777" w:rsidR="00501CFE" w:rsidRDefault="00501CFE" w:rsidP="00501CFE">
      <w:pPr>
        <w:widowControl w:val="0"/>
        <w:autoSpaceDE w:val="0"/>
        <w:autoSpaceDN w:val="0"/>
        <w:rPr>
          <w:rFonts w:eastAsia="Times New Roman" w:cs="Calibri"/>
          <w:sz w:val="24"/>
          <w:szCs w:val="24"/>
        </w:rPr>
        <w:sectPr w:rsidR="00501CFE" w:rsidSect="00501CFE">
          <w:type w:val="continuous"/>
          <w:pgSz w:w="11907" w:h="16839" w:code="9"/>
          <w:pgMar w:top="1440" w:right="1440" w:bottom="1440" w:left="1440" w:header="720" w:footer="720" w:gutter="0"/>
          <w:cols w:num="2" w:space="720"/>
          <w:docGrid w:linePitch="360"/>
        </w:sectPr>
      </w:pPr>
    </w:p>
    <w:p w14:paraId="413BBF2F" w14:textId="5D53B5E2"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noProof/>
          <w:sz w:val="24"/>
          <w:szCs w:val="24"/>
          <w:lang w:val="en-US" w:eastAsia="en-US"/>
        </w:rPr>
        <w:drawing>
          <wp:inline distT="0" distB="0" distL="0" distR="0" wp14:anchorId="00586718" wp14:editId="5A77B52C">
            <wp:extent cx="5572125" cy="3781425"/>
            <wp:effectExtent l="0" t="0" r="9525" b="9525"/>
            <wp:docPr id="21" name="Picture 2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 line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2125" cy="3781425"/>
                    </a:xfrm>
                    <a:prstGeom prst="rect">
                      <a:avLst/>
                    </a:prstGeom>
                    <a:noFill/>
                    <a:ln>
                      <a:noFill/>
                    </a:ln>
                  </pic:spPr>
                </pic:pic>
              </a:graphicData>
            </a:graphic>
          </wp:inline>
        </w:drawing>
      </w:r>
    </w:p>
    <w:p w14:paraId="2C223C3A"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Figure 2. Show The trends of Daphnia magna cultured in 300 ml plastic vessel under laboratory conditions.</w:t>
      </w:r>
      <w:r w:rsidRPr="00033BEA" w:rsidDel="00C528E3">
        <w:rPr>
          <w:rFonts w:eastAsia="Times New Roman" w:cs="Calibri"/>
          <w:sz w:val="24"/>
          <w:szCs w:val="24"/>
        </w:rPr>
        <w:t xml:space="preserve"> </w:t>
      </w:r>
    </w:p>
    <w:p w14:paraId="386D41DB" w14:textId="77777777" w:rsidR="00501CFE" w:rsidRPr="00033BEA" w:rsidRDefault="00501CFE" w:rsidP="00501CFE">
      <w:pPr>
        <w:widowControl w:val="0"/>
        <w:autoSpaceDE w:val="0"/>
        <w:autoSpaceDN w:val="0"/>
        <w:adjustRightInd w:val="0"/>
        <w:rPr>
          <w:rFonts w:eastAsia="Times New Roman" w:cs="Calibri"/>
          <w:b/>
          <w:sz w:val="24"/>
          <w:szCs w:val="24"/>
        </w:rPr>
      </w:pPr>
    </w:p>
    <w:p w14:paraId="52843EA8" w14:textId="77777777" w:rsidR="00501CFE" w:rsidRPr="00033BEA" w:rsidRDefault="00501CFE" w:rsidP="00501CFE">
      <w:pPr>
        <w:widowControl w:val="0"/>
        <w:autoSpaceDE w:val="0"/>
        <w:autoSpaceDN w:val="0"/>
        <w:adjustRightInd w:val="0"/>
        <w:rPr>
          <w:rFonts w:eastAsia="Times New Roman" w:cs="Calibri"/>
          <w:b/>
          <w:sz w:val="24"/>
          <w:szCs w:val="24"/>
        </w:rPr>
      </w:pPr>
      <w:r w:rsidRPr="00033BEA">
        <w:rPr>
          <w:rFonts w:eastAsia="Times New Roman" w:cs="Calibri"/>
          <w:b/>
          <w:sz w:val="24"/>
          <w:szCs w:val="24"/>
        </w:rPr>
        <w:t>Phase III:  Development and survival of African catfish larvae</w:t>
      </w:r>
    </w:p>
    <w:p w14:paraId="3664938A" w14:textId="77777777" w:rsidR="00501CFE" w:rsidRPr="00033BEA" w:rsidRDefault="00501CFE" w:rsidP="00501CFE">
      <w:pPr>
        <w:widowControl w:val="0"/>
        <w:autoSpaceDE w:val="0"/>
        <w:autoSpaceDN w:val="0"/>
        <w:adjustRightInd w:val="0"/>
        <w:rPr>
          <w:rFonts w:eastAsia="Times New Roman" w:cs="Calibri"/>
          <w:bCs/>
          <w:sz w:val="24"/>
          <w:szCs w:val="24"/>
        </w:rPr>
      </w:pPr>
      <w:r w:rsidRPr="00033BEA">
        <w:rPr>
          <w:rFonts w:eastAsia="Times New Roman" w:cs="Calibri"/>
          <w:sz w:val="24"/>
          <w:szCs w:val="24"/>
        </w:rPr>
        <w:t xml:space="preserve">The mean of set temperature of the water was 25.3 </w:t>
      </w:r>
      <w:r w:rsidRPr="00033BEA">
        <w:rPr>
          <w:rFonts w:ascii="Cambria Math" w:eastAsia="MS Mincho" w:hAnsi="Cambria Math" w:cs="Cambria Math"/>
          <w:sz w:val="24"/>
          <w:szCs w:val="24"/>
        </w:rPr>
        <w:t>℃</w:t>
      </w:r>
      <w:r w:rsidRPr="00033BEA">
        <w:rPr>
          <w:rFonts w:eastAsia="Times New Roman" w:cs="Calibri"/>
          <w:sz w:val="24"/>
          <w:szCs w:val="24"/>
        </w:rPr>
        <w:t xml:space="preserve"> and the mean pH of the water was 7.2 (Table 3). According to USEPA (1991), the current temperature and pH value was important </w:t>
      </w:r>
      <w:r w:rsidRPr="00033BEA">
        <w:rPr>
          <w:rFonts w:eastAsia="Times New Roman" w:cs="Calibri"/>
          <w:sz w:val="24"/>
          <w:szCs w:val="24"/>
        </w:rPr>
        <w:lastRenderedPageBreak/>
        <w:t xml:space="preserve">for rearing African catfish larvae. The present electrical conductivity and salinity was important for the survival of fish (Wetzel 2001; Friedl </w:t>
      </w:r>
      <w:r w:rsidRPr="00033BEA">
        <w:rPr>
          <w:rFonts w:eastAsia="Times New Roman" w:cs="Calibri"/>
          <w:i/>
          <w:iCs/>
          <w:sz w:val="24"/>
          <w:szCs w:val="24"/>
        </w:rPr>
        <w:t>et al</w:t>
      </w:r>
      <w:r w:rsidRPr="00033BEA">
        <w:rPr>
          <w:rFonts w:eastAsia="Times New Roman" w:cs="Calibri"/>
          <w:sz w:val="24"/>
          <w:szCs w:val="24"/>
        </w:rPr>
        <w:t xml:space="preserve"> 2004). According to </w:t>
      </w:r>
      <w:r w:rsidRPr="00033BEA">
        <w:rPr>
          <w:rFonts w:eastAsia="Times New Roman" w:cs="Calibri"/>
          <w:bCs/>
          <w:sz w:val="24"/>
          <w:szCs w:val="24"/>
        </w:rPr>
        <w:t>Geneviève and James (2008), the present dissolved oxygen greater than 2 mg/L was enough to survive the catfish larvae in clean water.</w:t>
      </w:r>
    </w:p>
    <w:p w14:paraId="4B7CED2C" w14:textId="77777777" w:rsidR="00501CFE" w:rsidRPr="00033BEA" w:rsidRDefault="00501CFE" w:rsidP="00501CFE">
      <w:pPr>
        <w:rPr>
          <w:rFonts w:eastAsia="Times New Roman" w:cs="Calibri"/>
          <w:b/>
          <w:bCs/>
          <w:sz w:val="24"/>
          <w:szCs w:val="24"/>
        </w:rPr>
      </w:pPr>
    </w:p>
    <w:p w14:paraId="12A39B3C" w14:textId="77777777" w:rsidR="00501CFE" w:rsidRPr="00033BEA" w:rsidRDefault="00501CFE" w:rsidP="00501CFE">
      <w:pPr>
        <w:widowControl w:val="0"/>
        <w:autoSpaceDE w:val="0"/>
        <w:autoSpaceDN w:val="0"/>
        <w:rPr>
          <w:rFonts w:eastAsia="Times New Roman" w:cs="Calibri"/>
          <w:bCs/>
          <w:sz w:val="24"/>
          <w:szCs w:val="24"/>
        </w:rPr>
      </w:pPr>
      <w:r w:rsidRPr="00033BEA">
        <w:rPr>
          <w:rFonts w:eastAsia="Times New Roman" w:cs="Calibri"/>
          <w:sz w:val="24"/>
          <w:szCs w:val="24"/>
        </w:rPr>
        <w:t>Table 3: Mean (</w:t>
      </w:r>
      <w:r w:rsidRPr="00033BEA">
        <w:rPr>
          <w:rFonts w:eastAsia="MS Mincho" w:cs="Calibri"/>
          <w:sz w:val="24"/>
          <w:szCs w:val="24"/>
        </w:rPr>
        <w:t>±</w:t>
      </w:r>
      <w:r w:rsidRPr="00033BEA">
        <w:rPr>
          <w:rFonts w:eastAsia="Times New Roman" w:cs="Calibri"/>
          <w:sz w:val="24"/>
          <w:szCs w:val="24"/>
        </w:rPr>
        <w:t>SD) of physico-chemical properties of water used for catfish larval rearing in glass aquarium at different feeding regimes items</w:t>
      </w:r>
    </w:p>
    <w:tbl>
      <w:tblPr>
        <w:tblW w:w="104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307"/>
        <w:gridCol w:w="1800"/>
        <w:gridCol w:w="1550"/>
        <w:gridCol w:w="1350"/>
        <w:gridCol w:w="1367"/>
        <w:gridCol w:w="1367"/>
      </w:tblGrid>
      <w:tr w:rsidR="00501CFE" w:rsidRPr="00033BEA" w14:paraId="1FC231B1" w14:textId="77777777" w:rsidTr="00C0606A">
        <w:trPr>
          <w:trHeight w:val="431"/>
        </w:trPr>
        <w:tc>
          <w:tcPr>
            <w:tcW w:w="1728" w:type="dxa"/>
            <w:vAlign w:val="center"/>
          </w:tcPr>
          <w:p w14:paraId="29871601"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Types of feed</w:t>
            </w:r>
          </w:p>
          <w:p w14:paraId="3E63E999" w14:textId="77777777" w:rsidR="00501CFE" w:rsidRPr="00033BEA" w:rsidRDefault="00501CFE" w:rsidP="00C0606A">
            <w:pPr>
              <w:widowControl w:val="0"/>
              <w:autoSpaceDE w:val="0"/>
              <w:autoSpaceDN w:val="0"/>
              <w:rPr>
                <w:rFonts w:eastAsia="Times New Roman" w:cs="Calibri"/>
                <w:bCs/>
                <w:sz w:val="24"/>
                <w:szCs w:val="24"/>
              </w:rPr>
            </w:pPr>
          </w:p>
        </w:tc>
        <w:tc>
          <w:tcPr>
            <w:tcW w:w="1307" w:type="dxa"/>
            <w:vAlign w:val="center"/>
          </w:tcPr>
          <w:p w14:paraId="1A056621"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T (</w:t>
            </w:r>
            <w:r w:rsidRPr="00033BEA">
              <w:rPr>
                <w:rFonts w:ascii="Cambria Math" w:eastAsia="MS Mincho" w:hAnsi="Cambria Math" w:cs="Cambria Math"/>
                <w:bCs/>
                <w:sz w:val="24"/>
                <w:szCs w:val="24"/>
              </w:rPr>
              <w:t>℃</w:t>
            </w:r>
            <w:r w:rsidRPr="00033BEA">
              <w:rPr>
                <w:rFonts w:eastAsia="Times New Roman" w:cs="Calibri"/>
                <w:bCs/>
                <w:sz w:val="24"/>
                <w:szCs w:val="24"/>
              </w:rPr>
              <w:t>)</w:t>
            </w:r>
          </w:p>
        </w:tc>
        <w:tc>
          <w:tcPr>
            <w:tcW w:w="1800" w:type="dxa"/>
            <w:vAlign w:val="center"/>
          </w:tcPr>
          <w:p w14:paraId="5C2BC7C5"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Sp. Cond (µs/cm</w:t>
            </w:r>
            <w:r w:rsidRPr="00033BEA">
              <w:rPr>
                <w:rFonts w:eastAsia="Times New Roman" w:cs="Calibri"/>
                <w:bCs/>
                <w:sz w:val="24"/>
                <w:szCs w:val="24"/>
                <w:vertAlign w:val="superscript"/>
              </w:rPr>
              <w:t>2</w:t>
            </w:r>
            <w:r w:rsidRPr="00033BEA">
              <w:rPr>
                <w:rFonts w:eastAsia="Times New Roman" w:cs="Calibri"/>
                <w:bCs/>
                <w:sz w:val="24"/>
                <w:szCs w:val="24"/>
              </w:rPr>
              <w:t>)</w:t>
            </w:r>
          </w:p>
        </w:tc>
        <w:tc>
          <w:tcPr>
            <w:tcW w:w="1550" w:type="dxa"/>
            <w:vAlign w:val="center"/>
          </w:tcPr>
          <w:p w14:paraId="169BAADC"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TDS (mg/L)</w:t>
            </w:r>
          </w:p>
        </w:tc>
        <w:tc>
          <w:tcPr>
            <w:tcW w:w="1350" w:type="dxa"/>
            <w:vAlign w:val="center"/>
          </w:tcPr>
          <w:p w14:paraId="6CF668AD"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Salinity (ppt)</w:t>
            </w:r>
          </w:p>
        </w:tc>
        <w:tc>
          <w:tcPr>
            <w:tcW w:w="1367" w:type="dxa"/>
            <w:vAlign w:val="center"/>
          </w:tcPr>
          <w:p w14:paraId="441A9BE0"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DO (mg/L)</w:t>
            </w:r>
          </w:p>
        </w:tc>
        <w:tc>
          <w:tcPr>
            <w:tcW w:w="1367" w:type="dxa"/>
            <w:vAlign w:val="center"/>
          </w:tcPr>
          <w:p w14:paraId="4BDAB0EC"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pH</w:t>
            </w:r>
          </w:p>
        </w:tc>
      </w:tr>
      <w:tr w:rsidR="00501CFE" w:rsidRPr="00033BEA" w14:paraId="20A1DE95" w14:textId="77777777" w:rsidTr="00C0606A">
        <w:trPr>
          <w:trHeight w:val="548"/>
        </w:trPr>
        <w:tc>
          <w:tcPr>
            <w:tcW w:w="1728" w:type="dxa"/>
          </w:tcPr>
          <w:p w14:paraId="77F9129D"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Live feed (</w:t>
            </w:r>
            <w:r w:rsidRPr="00033BEA">
              <w:rPr>
                <w:rFonts w:eastAsia="Times New Roman" w:cs="Calibri"/>
                <w:i/>
                <w:sz w:val="24"/>
                <w:szCs w:val="24"/>
              </w:rPr>
              <w:t>D. magna</w:t>
            </w:r>
            <w:r w:rsidRPr="00033BEA">
              <w:rPr>
                <w:rFonts w:eastAsia="Times New Roman" w:cs="Calibri"/>
                <w:sz w:val="24"/>
                <w:szCs w:val="24"/>
              </w:rPr>
              <w:t>)</w:t>
            </w:r>
          </w:p>
        </w:tc>
        <w:tc>
          <w:tcPr>
            <w:tcW w:w="1307" w:type="dxa"/>
          </w:tcPr>
          <w:p w14:paraId="294BFD8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25.3±0.66</w:t>
            </w:r>
          </w:p>
        </w:tc>
        <w:tc>
          <w:tcPr>
            <w:tcW w:w="1800" w:type="dxa"/>
          </w:tcPr>
          <w:p w14:paraId="634A24D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165.43±4.08</w:t>
            </w:r>
          </w:p>
        </w:tc>
        <w:tc>
          <w:tcPr>
            <w:tcW w:w="1550" w:type="dxa"/>
          </w:tcPr>
          <w:p w14:paraId="2E745586"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104.29±2.69</w:t>
            </w:r>
          </w:p>
        </w:tc>
        <w:tc>
          <w:tcPr>
            <w:tcW w:w="1350" w:type="dxa"/>
          </w:tcPr>
          <w:p w14:paraId="4001D477"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0.07±0.01</w:t>
            </w:r>
          </w:p>
        </w:tc>
        <w:tc>
          <w:tcPr>
            <w:tcW w:w="1367" w:type="dxa"/>
          </w:tcPr>
          <w:p w14:paraId="2140AA74"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5.39±0.14</w:t>
            </w:r>
          </w:p>
        </w:tc>
        <w:tc>
          <w:tcPr>
            <w:tcW w:w="1367" w:type="dxa"/>
          </w:tcPr>
          <w:p w14:paraId="48D7FA15"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7.22±0.11</w:t>
            </w:r>
          </w:p>
        </w:tc>
      </w:tr>
      <w:tr w:rsidR="00501CFE" w:rsidRPr="00033BEA" w14:paraId="08B2FF17" w14:textId="77777777" w:rsidTr="00C0606A">
        <w:trPr>
          <w:trHeight w:val="421"/>
        </w:trPr>
        <w:tc>
          <w:tcPr>
            <w:tcW w:w="1728" w:type="dxa"/>
          </w:tcPr>
          <w:p w14:paraId="7CE4C3A1"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Chicken egg yolk</w:t>
            </w:r>
          </w:p>
        </w:tc>
        <w:tc>
          <w:tcPr>
            <w:tcW w:w="1307" w:type="dxa"/>
          </w:tcPr>
          <w:p w14:paraId="6F31FEF5"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25.3±0.66</w:t>
            </w:r>
          </w:p>
        </w:tc>
        <w:tc>
          <w:tcPr>
            <w:tcW w:w="1800" w:type="dxa"/>
          </w:tcPr>
          <w:p w14:paraId="6C0EE66D"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169.43±6.76</w:t>
            </w:r>
          </w:p>
        </w:tc>
        <w:tc>
          <w:tcPr>
            <w:tcW w:w="1550" w:type="dxa"/>
          </w:tcPr>
          <w:p w14:paraId="12AAD35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104.86±2.91</w:t>
            </w:r>
          </w:p>
        </w:tc>
        <w:tc>
          <w:tcPr>
            <w:tcW w:w="1350" w:type="dxa"/>
          </w:tcPr>
          <w:p w14:paraId="3E799DAC"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0.07±0.01</w:t>
            </w:r>
          </w:p>
        </w:tc>
        <w:tc>
          <w:tcPr>
            <w:tcW w:w="1367" w:type="dxa"/>
          </w:tcPr>
          <w:p w14:paraId="5AA2A1C1"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4.94±0.32</w:t>
            </w:r>
          </w:p>
        </w:tc>
        <w:tc>
          <w:tcPr>
            <w:tcW w:w="1367" w:type="dxa"/>
          </w:tcPr>
          <w:p w14:paraId="2C2453E3"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7.26±0.10</w:t>
            </w:r>
          </w:p>
        </w:tc>
      </w:tr>
      <w:tr w:rsidR="00501CFE" w:rsidRPr="00033BEA" w14:paraId="571A6955" w14:textId="77777777" w:rsidTr="00C0606A">
        <w:trPr>
          <w:trHeight w:val="421"/>
        </w:trPr>
        <w:tc>
          <w:tcPr>
            <w:tcW w:w="1728" w:type="dxa"/>
          </w:tcPr>
          <w:p w14:paraId="55F0BDB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Soybean</w:t>
            </w:r>
          </w:p>
        </w:tc>
        <w:tc>
          <w:tcPr>
            <w:tcW w:w="1307" w:type="dxa"/>
          </w:tcPr>
          <w:p w14:paraId="0FABF83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25.3±0.66</w:t>
            </w:r>
          </w:p>
        </w:tc>
        <w:tc>
          <w:tcPr>
            <w:tcW w:w="1800" w:type="dxa"/>
          </w:tcPr>
          <w:p w14:paraId="535D454B"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178.29±12.03</w:t>
            </w:r>
          </w:p>
        </w:tc>
        <w:tc>
          <w:tcPr>
            <w:tcW w:w="1550" w:type="dxa"/>
          </w:tcPr>
          <w:p w14:paraId="3C3831C0"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107.71±6.90</w:t>
            </w:r>
          </w:p>
        </w:tc>
        <w:tc>
          <w:tcPr>
            <w:tcW w:w="1350" w:type="dxa"/>
          </w:tcPr>
          <w:p w14:paraId="52D974FB"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0.07±0.01</w:t>
            </w:r>
          </w:p>
        </w:tc>
        <w:tc>
          <w:tcPr>
            <w:tcW w:w="1367" w:type="dxa"/>
          </w:tcPr>
          <w:p w14:paraId="7B69A00A"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4.83±0.32</w:t>
            </w:r>
          </w:p>
        </w:tc>
        <w:tc>
          <w:tcPr>
            <w:tcW w:w="1367" w:type="dxa"/>
          </w:tcPr>
          <w:p w14:paraId="1E2D9E30"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7.19±0.11</w:t>
            </w:r>
          </w:p>
        </w:tc>
      </w:tr>
    </w:tbl>
    <w:p w14:paraId="2B47D02D" w14:textId="77777777" w:rsidR="00501CFE" w:rsidRPr="00033BEA" w:rsidRDefault="00501CFE" w:rsidP="00501CFE">
      <w:pPr>
        <w:widowControl w:val="0"/>
        <w:autoSpaceDE w:val="0"/>
        <w:autoSpaceDN w:val="0"/>
        <w:adjustRightInd w:val="0"/>
        <w:rPr>
          <w:rFonts w:eastAsia="Times New Roman" w:cs="Calibri"/>
          <w:bCs/>
          <w:iCs/>
          <w:sz w:val="24"/>
          <w:szCs w:val="24"/>
        </w:rPr>
      </w:pPr>
      <w:r w:rsidRPr="00033BEA">
        <w:rPr>
          <w:rFonts w:eastAsia="Times New Roman" w:cs="Calibri"/>
          <w:bCs/>
          <w:iCs/>
          <w:sz w:val="24"/>
          <w:szCs w:val="24"/>
        </w:rPr>
        <w:t xml:space="preserve">NB: </w:t>
      </w:r>
      <w:r w:rsidRPr="00033BEA">
        <w:rPr>
          <w:rFonts w:eastAsia="Times New Roman" w:cs="Calibri"/>
          <w:iCs/>
          <w:sz w:val="24"/>
          <w:szCs w:val="24"/>
        </w:rPr>
        <w:t>T (</w:t>
      </w:r>
      <w:r w:rsidRPr="00033BEA">
        <w:rPr>
          <w:rFonts w:ascii="Cambria Math" w:eastAsia="MS Mincho" w:hAnsi="Cambria Math" w:cs="Cambria Math"/>
          <w:iCs/>
          <w:sz w:val="24"/>
          <w:szCs w:val="24"/>
        </w:rPr>
        <w:t>℃</w:t>
      </w:r>
      <w:r w:rsidRPr="00033BEA">
        <w:rPr>
          <w:rFonts w:eastAsia="Times New Roman" w:cs="Calibri"/>
          <w:iCs/>
          <w:sz w:val="24"/>
          <w:szCs w:val="24"/>
        </w:rPr>
        <w:t>) = Temperature in degree Celsius, Sp. Cond (µs/cm</w:t>
      </w:r>
      <w:r w:rsidRPr="00033BEA">
        <w:rPr>
          <w:rFonts w:eastAsia="Times New Roman" w:cs="Calibri"/>
          <w:iCs/>
          <w:sz w:val="24"/>
          <w:szCs w:val="24"/>
          <w:vertAlign w:val="superscript"/>
        </w:rPr>
        <w:t>2</w:t>
      </w:r>
      <w:r w:rsidRPr="00033BEA">
        <w:rPr>
          <w:rFonts w:eastAsia="Times New Roman" w:cs="Calibri"/>
          <w:iCs/>
          <w:sz w:val="24"/>
          <w:szCs w:val="24"/>
        </w:rPr>
        <w:t xml:space="preserve">) = Specific conductivity in micro-Siemens per centimeter square, TDS (mg/L) = Total dissolved solids in milligram per litter, ppt = parts per trillion, DO = dissolved oxygen, </w:t>
      </w:r>
      <w:r w:rsidRPr="00033BEA">
        <w:rPr>
          <w:rFonts w:eastAsia="Times New Roman" w:cs="Calibri"/>
          <w:i/>
          <w:sz w:val="24"/>
          <w:szCs w:val="24"/>
        </w:rPr>
        <w:t>D. magna</w:t>
      </w:r>
      <w:r w:rsidRPr="00033BEA">
        <w:rPr>
          <w:rFonts w:eastAsia="Times New Roman" w:cs="Calibri"/>
          <w:iCs/>
          <w:sz w:val="24"/>
          <w:szCs w:val="24"/>
        </w:rPr>
        <w:t xml:space="preserve"> = </w:t>
      </w:r>
      <w:r w:rsidRPr="00033BEA">
        <w:rPr>
          <w:rFonts w:eastAsia="Times New Roman" w:cs="Calibri"/>
          <w:i/>
          <w:sz w:val="24"/>
          <w:szCs w:val="24"/>
        </w:rPr>
        <w:t>Daphnia magna</w:t>
      </w:r>
      <w:r w:rsidRPr="00033BEA">
        <w:rPr>
          <w:rFonts w:eastAsia="Times New Roman" w:cs="Calibri"/>
          <w:iCs/>
          <w:sz w:val="24"/>
          <w:szCs w:val="24"/>
        </w:rPr>
        <w:t>.</w:t>
      </w:r>
      <w:r w:rsidRPr="00033BEA">
        <w:rPr>
          <w:rFonts w:eastAsia="Times New Roman" w:cs="Calibri"/>
          <w:iCs/>
          <w:sz w:val="24"/>
          <w:szCs w:val="24"/>
          <w:vertAlign w:val="subscript"/>
        </w:rPr>
        <w:t xml:space="preserve"> </w:t>
      </w:r>
    </w:p>
    <w:p w14:paraId="7D0A1035" w14:textId="77777777" w:rsidR="00501CFE" w:rsidRPr="00033BEA" w:rsidRDefault="00501CFE" w:rsidP="00501CFE">
      <w:pPr>
        <w:widowControl w:val="0"/>
        <w:autoSpaceDE w:val="0"/>
        <w:autoSpaceDN w:val="0"/>
        <w:adjustRightInd w:val="0"/>
        <w:rPr>
          <w:rFonts w:eastAsia="Times New Roman" w:cs="Calibri"/>
          <w:sz w:val="24"/>
          <w:szCs w:val="24"/>
        </w:rPr>
      </w:pPr>
    </w:p>
    <w:p w14:paraId="625EECBA" w14:textId="77777777" w:rsidR="00501CFE" w:rsidRDefault="00501CFE" w:rsidP="00501CFE">
      <w:pPr>
        <w:widowControl w:val="0"/>
        <w:autoSpaceDE w:val="0"/>
        <w:autoSpaceDN w:val="0"/>
        <w:adjustRightInd w:val="0"/>
        <w:rPr>
          <w:rFonts w:eastAsia="Times New Roman" w:cs="Calibri"/>
          <w:sz w:val="24"/>
          <w:szCs w:val="24"/>
        </w:rPr>
        <w:sectPr w:rsidR="00501CFE" w:rsidSect="00501CFE">
          <w:type w:val="continuous"/>
          <w:pgSz w:w="11907" w:h="16839" w:code="9"/>
          <w:pgMar w:top="1440" w:right="1440" w:bottom="1440" w:left="1440" w:header="720" w:footer="720" w:gutter="0"/>
          <w:cols w:space="720"/>
          <w:docGrid w:linePitch="360"/>
        </w:sectPr>
      </w:pPr>
    </w:p>
    <w:p w14:paraId="061CB47F" w14:textId="0A907180" w:rsidR="00501CFE" w:rsidRPr="00033BEA" w:rsidRDefault="00501CFE" w:rsidP="00501CFE">
      <w:pPr>
        <w:widowControl w:val="0"/>
        <w:autoSpaceDE w:val="0"/>
        <w:autoSpaceDN w:val="0"/>
        <w:adjustRightInd w:val="0"/>
        <w:rPr>
          <w:rFonts w:eastAsia="Times New Roman" w:cs="Calibri"/>
          <w:sz w:val="24"/>
          <w:szCs w:val="24"/>
        </w:rPr>
      </w:pPr>
      <w:r w:rsidRPr="00033BEA">
        <w:rPr>
          <w:rFonts w:eastAsia="Times New Roman" w:cs="Calibri"/>
          <w:sz w:val="24"/>
          <w:szCs w:val="24"/>
        </w:rPr>
        <w:t>The mean of major nutrients obtained for the treatments (feeding groups) were presented in table 4. The mean values of ammonia level in all fed groups were less than 0.1 mg/L, and there was no significance difference among all feeding groups (P &gt; 0.05; Table 4). The range of nitrate and nitrite concentration was 1.2 to 1.5 mg/L and 0.01 to 0.02 mg/L for all feeding group respectively. According to Bhatnagar and Devi (2013), described the favorable range of nitrate concentration is 0.1 mg L-1 to 4.0 mg L</w:t>
      </w:r>
      <w:r w:rsidRPr="00033BEA">
        <w:rPr>
          <w:rFonts w:eastAsia="Times New Roman" w:cs="Calibri"/>
          <w:sz w:val="24"/>
          <w:szCs w:val="24"/>
          <w:vertAlign w:val="superscript"/>
        </w:rPr>
        <w:t>-1</w:t>
      </w:r>
      <w:r w:rsidRPr="00033BEA">
        <w:rPr>
          <w:rFonts w:eastAsia="Times New Roman" w:cs="Calibri"/>
          <w:sz w:val="24"/>
          <w:szCs w:val="24"/>
        </w:rPr>
        <w:t xml:space="preserve"> in fish culture water. Thus, the present results were permitted this requirement. Naturally occurring levels do not exceed 0.3 mg/l for nitrite (Bhatnagar et al 2004). Of course, </w:t>
      </w:r>
      <w:r w:rsidRPr="00033BEA">
        <w:rPr>
          <w:rFonts w:eastAsia="Times New Roman" w:cs="Calibri"/>
          <w:sz w:val="24"/>
          <w:szCs w:val="24"/>
        </w:rPr>
        <w:t xml:space="preserve">the current results of culture showed within these rages. The current range of phosphate concentration was 0.05 to 0.06 mg/L in the feeding groups. According to Bhatnagar et al (2004) suggested </w:t>
      </w:r>
      <w:r w:rsidRPr="00033BEA">
        <w:rPr>
          <w:rFonts w:eastAsia="Times New Roman" w:cs="Calibri"/>
          <w:bCs/>
          <w:sz w:val="24"/>
          <w:szCs w:val="24"/>
        </w:rPr>
        <w:t xml:space="preserve">0.05-0.07 ppm </w:t>
      </w:r>
      <w:r w:rsidRPr="00033BEA">
        <w:rPr>
          <w:rFonts w:eastAsia="Times New Roman" w:cs="Calibri"/>
          <w:sz w:val="24"/>
          <w:szCs w:val="24"/>
        </w:rPr>
        <w:t xml:space="preserve">is </w:t>
      </w:r>
      <w:r w:rsidRPr="00033BEA">
        <w:rPr>
          <w:rFonts w:eastAsia="Times New Roman" w:cs="Calibri"/>
          <w:bCs/>
          <w:sz w:val="24"/>
          <w:szCs w:val="24"/>
        </w:rPr>
        <w:t>optimum for fish culture. Thus, based on this literature the concentration of phosphate was permissible the limit.</w:t>
      </w:r>
      <w:r w:rsidRPr="00033BEA">
        <w:rPr>
          <w:rFonts w:eastAsia="Times New Roman" w:cs="Calibri"/>
          <w:sz w:val="24"/>
          <w:szCs w:val="24"/>
        </w:rPr>
        <w:t xml:space="preserve"> The range of total hardness and alkalinity was 72 to 85 and 63 to 72 mg/L CaCO</w:t>
      </w:r>
      <w:r w:rsidRPr="00033BEA">
        <w:rPr>
          <w:rFonts w:eastAsia="Times New Roman" w:cs="Calibri"/>
          <w:sz w:val="24"/>
          <w:szCs w:val="24"/>
          <w:vertAlign w:val="subscript"/>
        </w:rPr>
        <w:t>3</w:t>
      </w:r>
      <w:r w:rsidRPr="00033BEA">
        <w:rPr>
          <w:rFonts w:eastAsia="Times New Roman" w:cs="Calibri"/>
          <w:sz w:val="24"/>
          <w:szCs w:val="24"/>
        </w:rPr>
        <w:t xml:space="preserve"> in the feeding groups. According to Bhatnagar et al (2004) suggested that the total hardness and alkalinity acceptable range of above 20 mg L</w:t>
      </w:r>
      <w:r w:rsidRPr="00033BEA">
        <w:rPr>
          <w:rFonts w:eastAsia="Times New Roman" w:cs="Calibri"/>
          <w:sz w:val="24"/>
          <w:szCs w:val="24"/>
          <w:vertAlign w:val="superscript"/>
        </w:rPr>
        <w:t>-1</w:t>
      </w:r>
      <w:r w:rsidRPr="00033BEA">
        <w:rPr>
          <w:rFonts w:eastAsia="Times New Roman" w:cs="Calibri"/>
          <w:sz w:val="24"/>
          <w:szCs w:val="24"/>
        </w:rPr>
        <w:t xml:space="preserve"> CaCO</w:t>
      </w:r>
      <w:r w:rsidRPr="00033BEA">
        <w:rPr>
          <w:rFonts w:eastAsia="Times New Roman" w:cs="Calibri"/>
          <w:sz w:val="24"/>
          <w:szCs w:val="24"/>
          <w:vertAlign w:val="subscript"/>
        </w:rPr>
        <w:t>3</w:t>
      </w:r>
      <w:r w:rsidRPr="00033BEA">
        <w:rPr>
          <w:rFonts w:eastAsia="Times New Roman" w:cs="Calibri"/>
          <w:sz w:val="24"/>
          <w:szCs w:val="24"/>
        </w:rPr>
        <w:t xml:space="preserve"> and less than 400 mg L</w:t>
      </w:r>
      <w:r w:rsidRPr="00033BEA">
        <w:rPr>
          <w:rFonts w:eastAsia="Times New Roman" w:cs="Calibri"/>
          <w:sz w:val="24"/>
          <w:szCs w:val="24"/>
          <w:vertAlign w:val="superscript"/>
        </w:rPr>
        <w:t>-1</w:t>
      </w:r>
      <w:r w:rsidRPr="00033BEA">
        <w:rPr>
          <w:rFonts w:eastAsia="Times New Roman" w:cs="Calibri"/>
          <w:sz w:val="24"/>
          <w:szCs w:val="24"/>
        </w:rPr>
        <w:t xml:space="preserve"> CaCO</w:t>
      </w:r>
      <w:r w:rsidRPr="00033BEA">
        <w:rPr>
          <w:rFonts w:eastAsia="Times New Roman" w:cs="Calibri"/>
          <w:sz w:val="24"/>
          <w:szCs w:val="24"/>
          <w:vertAlign w:val="subscript"/>
        </w:rPr>
        <w:t>3</w:t>
      </w:r>
      <w:r w:rsidRPr="00033BEA">
        <w:rPr>
          <w:rFonts w:eastAsia="Times New Roman" w:cs="Calibri"/>
          <w:sz w:val="24"/>
          <w:szCs w:val="24"/>
        </w:rPr>
        <w:t xml:space="preserve"> for fish culture. </w:t>
      </w:r>
    </w:p>
    <w:p w14:paraId="16452D8D" w14:textId="77777777" w:rsidR="00501CFE" w:rsidRPr="00033BEA" w:rsidRDefault="00501CFE" w:rsidP="00501CFE">
      <w:pPr>
        <w:rPr>
          <w:rFonts w:eastAsia="Times New Roman" w:cs="Calibri"/>
          <w:sz w:val="24"/>
          <w:szCs w:val="24"/>
        </w:rPr>
      </w:pPr>
    </w:p>
    <w:p w14:paraId="6B125871" w14:textId="77777777" w:rsidR="00501CFE" w:rsidRDefault="00501CFE" w:rsidP="00501CFE">
      <w:pPr>
        <w:widowControl w:val="0"/>
        <w:autoSpaceDE w:val="0"/>
        <w:autoSpaceDN w:val="0"/>
        <w:rPr>
          <w:rFonts w:eastAsia="Times New Roman" w:cs="Calibri"/>
          <w:sz w:val="24"/>
          <w:szCs w:val="24"/>
        </w:rPr>
        <w:sectPr w:rsidR="00501CFE" w:rsidSect="00501CFE">
          <w:type w:val="continuous"/>
          <w:pgSz w:w="11907" w:h="16839" w:code="9"/>
          <w:pgMar w:top="1440" w:right="1440" w:bottom="1440" w:left="1440" w:header="720" w:footer="720" w:gutter="0"/>
          <w:cols w:num="2" w:space="720"/>
          <w:docGrid w:linePitch="360"/>
        </w:sectPr>
      </w:pPr>
    </w:p>
    <w:p w14:paraId="76F143A6" w14:textId="6EAC825F"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Table 4: shows the major nutrient levels in aquarium water at various feeding items</w:t>
      </w:r>
    </w:p>
    <w:tbl>
      <w:tblPr>
        <w:tblW w:w="10191" w:type="dxa"/>
        <w:jc w:val="center"/>
        <w:tblLayout w:type="fixed"/>
        <w:tblLook w:val="04A0" w:firstRow="1" w:lastRow="0" w:firstColumn="1" w:lastColumn="0" w:noHBand="0" w:noVBand="1"/>
      </w:tblPr>
      <w:tblGrid>
        <w:gridCol w:w="2049"/>
        <w:gridCol w:w="1307"/>
        <w:gridCol w:w="1307"/>
        <w:gridCol w:w="1134"/>
        <w:gridCol w:w="1417"/>
        <w:gridCol w:w="1418"/>
        <w:gridCol w:w="1559"/>
      </w:tblGrid>
      <w:tr w:rsidR="00501CFE" w:rsidRPr="00033BEA" w14:paraId="04266E46" w14:textId="77777777" w:rsidTr="00C0606A">
        <w:trPr>
          <w:trHeight w:val="690"/>
          <w:jc w:val="center"/>
        </w:trPr>
        <w:tc>
          <w:tcPr>
            <w:tcW w:w="2049" w:type="dxa"/>
            <w:tcBorders>
              <w:top w:val="single" w:sz="12" w:space="0" w:color="auto"/>
              <w:bottom w:val="single" w:sz="12" w:space="0" w:color="auto"/>
            </w:tcBorders>
            <w:shd w:val="clear" w:color="auto" w:fill="auto"/>
            <w:vAlign w:val="center"/>
          </w:tcPr>
          <w:p w14:paraId="20BD37CF"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Types of feed</w:t>
            </w:r>
          </w:p>
        </w:tc>
        <w:tc>
          <w:tcPr>
            <w:tcW w:w="1307" w:type="dxa"/>
            <w:tcBorders>
              <w:top w:val="single" w:sz="12" w:space="0" w:color="auto"/>
              <w:bottom w:val="single" w:sz="12" w:space="0" w:color="auto"/>
            </w:tcBorders>
            <w:shd w:val="clear" w:color="auto" w:fill="auto"/>
            <w:vAlign w:val="center"/>
          </w:tcPr>
          <w:p w14:paraId="1612C775" w14:textId="77777777" w:rsidR="00501CFE" w:rsidRPr="00033BEA" w:rsidRDefault="00501CFE" w:rsidP="00C0606A">
            <w:pPr>
              <w:widowControl w:val="0"/>
              <w:autoSpaceDE w:val="0"/>
              <w:autoSpaceDN w:val="0"/>
              <w:rPr>
                <w:rFonts w:eastAsia="Times New Roman" w:cs="Calibri"/>
                <w:sz w:val="24"/>
                <w:szCs w:val="24"/>
                <w:vertAlign w:val="subscript"/>
              </w:rPr>
            </w:pPr>
            <w:r w:rsidRPr="00033BEA">
              <w:rPr>
                <w:rFonts w:eastAsia="Times New Roman" w:cs="Calibri"/>
                <w:sz w:val="24"/>
                <w:szCs w:val="24"/>
              </w:rPr>
              <w:t>NH</w:t>
            </w:r>
            <w:r w:rsidRPr="00033BEA">
              <w:rPr>
                <w:rFonts w:eastAsia="Times New Roman" w:cs="Calibri"/>
                <w:sz w:val="24"/>
                <w:szCs w:val="24"/>
                <w:vertAlign w:val="subscript"/>
              </w:rPr>
              <w:t>3</w:t>
            </w:r>
          </w:p>
          <w:p w14:paraId="697AA360"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307" w:type="dxa"/>
            <w:tcBorders>
              <w:top w:val="single" w:sz="12" w:space="0" w:color="auto"/>
              <w:bottom w:val="single" w:sz="12" w:space="0" w:color="auto"/>
            </w:tcBorders>
            <w:shd w:val="clear" w:color="auto" w:fill="auto"/>
            <w:vAlign w:val="center"/>
          </w:tcPr>
          <w:p w14:paraId="20DA8BD8" w14:textId="77777777" w:rsidR="00501CFE" w:rsidRPr="00033BEA" w:rsidRDefault="00501CFE" w:rsidP="00C0606A">
            <w:pPr>
              <w:widowControl w:val="0"/>
              <w:autoSpaceDE w:val="0"/>
              <w:autoSpaceDN w:val="0"/>
              <w:rPr>
                <w:rFonts w:eastAsia="Times New Roman" w:cs="Calibri"/>
                <w:sz w:val="24"/>
                <w:szCs w:val="24"/>
                <w:vertAlign w:val="subscript"/>
              </w:rPr>
            </w:pPr>
            <w:r w:rsidRPr="00033BEA">
              <w:rPr>
                <w:rFonts w:eastAsia="Times New Roman" w:cs="Calibri"/>
                <w:sz w:val="24"/>
                <w:szCs w:val="24"/>
              </w:rPr>
              <w:t>PO</w:t>
            </w:r>
            <w:r w:rsidRPr="00033BEA">
              <w:rPr>
                <w:rFonts w:eastAsia="Times New Roman" w:cs="Calibri"/>
                <w:sz w:val="24"/>
                <w:szCs w:val="24"/>
                <w:vertAlign w:val="subscript"/>
              </w:rPr>
              <w:t>4</w:t>
            </w:r>
          </w:p>
          <w:p w14:paraId="7B339B8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134" w:type="dxa"/>
            <w:tcBorders>
              <w:top w:val="single" w:sz="12" w:space="0" w:color="auto"/>
              <w:bottom w:val="single" w:sz="12" w:space="0" w:color="auto"/>
            </w:tcBorders>
            <w:shd w:val="clear" w:color="auto" w:fill="auto"/>
            <w:vAlign w:val="center"/>
          </w:tcPr>
          <w:p w14:paraId="05E1B35B"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NO</w:t>
            </w:r>
            <w:r w:rsidRPr="00033BEA">
              <w:rPr>
                <w:rFonts w:eastAsia="Times New Roman" w:cs="Calibri"/>
                <w:sz w:val="24"/>
                <w:szCs w:val="24"/>
                <w:vertAlign w:val="subscript"/>
              </w:rPr>
              <w:t>3</w:t>
            </w:r>
            <w:r w:rsidRPr="00033BEA">
              <w:rPr>
                <w:rFonts w:eastAsia="Times New Roman" w:cs="Calibri"/>
                <w:sz w:val="24"/>
                <w:szCs w:val="24"/>
              </w:rPr>
              <w:t xml:space="preserve"> (mg/L)</w:t>
            </w:r>
          </w:p>
        </w:tc>
        <w:tc>
          <w:tcPr>
            <w:tcW w:w="1417" w:type="dxa"/>
            <w:tcBorders>
              <w:top w:val="single" w:sz="12" w:space="0" w:color="auto"/>
              <w:bottom w:val="single" w:sz="12" w:space="0" w:color="auto"/>
            </w:tcBorders>
            <w:shd w:val="clear" w:color="auto" w:fill="auto"/>
            <w:vAlign w:val="center"/>
          </w:tcPr>
          <w:p w14:paraId="3EAA578A"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NO</w:t>
            </w:r>
            <w:r w:rsidRPr="00033BEA">
              <w:rPr>
                <w:rFonts w:eastAsia="Times New Roman" w:cs="Calibri"/>
                <w:sz w:val="24"/>
                <w:szCs w:val="24"/>
                <w:vertAlign w:val="subscript"/>
              </w:rPr>
              <w:t>2</w:t>
            </w:r>
            <w:r w:rsidRPr="00033BEA">
              <w:rPr>
                <w:rFonts w:eastAsia="Times New Roman" w:cs="Calibri"/>
                <w:sz w:val="24"/>
                <w:szCs w:val="24"/>
              </w:rPr>
              <w:t xml:space="preserve"> </w:t>
            </w:r>
          </w:p>
          <w:p w14:paraId="27ED2CCA"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418" w:type="dxa"/>
            <w:tcBorders>
              <w:top w:val="single" w:sz="12" w:space="0" w:color="auto"/>
              <w:bottom w:val="single" w:sz="12" w:space="0" w:color="auto"/>
            </w:tcBorders>
            <w:shd w:val="clear" w:color="auto" w:fill="auto"/>
            <w:vAlign w:val="center"/>
          </w:tcPr>
          <w:p w14:paraId="50DC0B30"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Total hardness</w:t>
            </w:r>
          </w:p>
          <w:p w14:paraId="24A6070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 CaCO</w:t>
            </w:r>
            <w:r w:rsidRPr="00033BEA">
              <w:rPr>
                <w:rFonts w:eastAsia="Times New Roman" w:cs="Calibri"/>
                <w:sz w:val="24"/>
                <w:szCs w:val="24"/>
                <w:vertAlign w:val="subscript"/>
              </w:rPr>
              <w:t>3</w:t>
            </w:r>
            <w:r w:rsidRPr="00033BEA">
              <w:rPr>
                <w:rFonts w:eastAsia="Times New Roman" w:cs="Calibri"/>
                <w:sz w:val="24"/>
                <w:szCs w:val="24"/>
              </w:rPr>
              <w:t>)</w:t>
            </w:r>
          </w:p>
        </w:tc>
        <w:tc>
          <w:tcPr>
            <w:tcW w:w="1559" w:type="dxa"/>
            <w:tcBorders>
              <w:top w:val="single" w:sz="12" w:space="0" w:color="auto"/>
              <w:bottom w:val="single" w:sz="12" w:space="0" w:color="auto"/>
            </w:tcBorders>
            <w:shd w:val="clear" w:color="auto" w:fill="auto"/>
            <w:vAlign w:val="center"/>
          </w:tcPr>
          <w:p w14:paraId="10697D07"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Alkalinity</w:t>
            </w:r>
          </w:p>
          <w:p w14:paraId="39EE405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 CaCO</w:t>
            </w:r>
            <w:r w:rsidRPr="00033BEA">
              <w:rPr>
                <w:rFonts w:eastAsia="Times New Roman" w:cs="Calibri"/>
                <w:sz w:val="24"/>
                <w:szCs w:val="24"/>
                <w:vertAlign w:val="subscript"/>
              </w:rPr>
              <w:t>3</w:t>
            </w:r>
            <w:r w:rsidRPr="00033BEA">
              <w:rPr>
                <w:rFonts w:eastAsia="Times New Roman" w:cs="Calibri"/>
                <w:sz w:val="24"/>
                <w:szCs w:val="24"/>
              </w:rPr>
              <w:t>)</w:t>
            </w:r>
          </w:p>
        </w:tc>
      </w:tr>
      <w:tr w:rsidR="00501CFE" w:rsidRPr="00033BEA" w14:paraId="13BFBBF9" w14:textId="77777777" w:rsidTr="00C0606A">
        <w:trPr>
          <w:trHeight w:val="511"/>
          <w:jc w:val="center"/>
        </w:trPr>
        <w:tc>
          <w:tcPr>
            <w:tcW w:w="2049" w:type="dxa"/>
            <w:tcBorders>
              <w:top w:val="single" w:sz="12" w:space="0" w:color="auto"/>
            </w:tcBorders>
            <w:shd w:val="clear" w:color="auto" w:fill="auto"/>
          </w:tcPr>
          <w:p w14:paraId="516116CC"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Live feed (</w:t>
            </w:r>
            <w:r w:rsidRPr="00033BEA">
              <w:rPr>
                <w:rFonts w:eastAsia="Times New Roman" w:cs="Calibri"/>
                <w:i/>
                <w:sz w:val="24"/>
                <w:szCs w:val="24"/>
              </w:rPr>
              <w:t>D. magna</w:t>
            </w:r>
            <w:r w:rsidRPr="00033BEA">
              <w:rPr>
                <w:rFonts w:eastAsia="Times New Roman" w:cs="Calibri"/>
                <w:sz w:val="24"/>
                <w:szCs w:val="24"/>
              </w:rPr>
              <w:t>)</w:t>
            </w:r>
          </w:p>
        </w:tc>
        <w:tc>
          <w:tcPr>
            <w:tcW w:w="1307" w:type="dxa"/>
            <w:tcBorders>
              <w:top w:val="single" w:sz="12" w:space="0" w:color="auto"/>
            </w:tcBorders>
            <w:shd w:val="clear" w:color="auto" w:fill="auto"/>
          </w:tcPr>
          <w:p w14:paraId="14B45FC3"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0.00</w:t>
            </w:r>
          </w:p>
        </w:tc>
        <w:tc>
          <w:tcPr>
            <w:tcW w:w="1307" w:type="dxa"/>
            <w:tcBorders>
              <w:top w:val="single" w:sz="12" w:space="0" w:color="auto"/>
            </w:tcBorders>
            <w:shd w:val="clear" w:color="auto" w:fill="auto"/>
          </w:tcPr>
          <w:p w14:paraId="66CA7289"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0.05±0.05</w:t>
            </w:r>
          </w:p>
        </w:tc>
        <w:tc>
          <w:tcPr>
            <w:tcW w:w="1134" w:type="dxa"/>
            <w:tcBorders>
              <w:top w:val="single" w:sz="12" w:space="0" w:color="auto"/>
            </w:tcBorders>
            <w:shd w:val="clear" w:color="auto" w:fill="auto"/>
          </w:tcPr>
          <w:p w14:paraId="7F98E28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1.2±0.48</w:t>
            </w:r>
          </w:p>
        </w:tc>
        <w:tc>
          <w:tcPr>
            <w:tcW w:w="1417" w:type="dxa"/>
            <w:tcBorders>
              <w:top w:val="single" w:sz="12" w:space="0" w:color="auto"/>
            </w:tcBorders>
            <w:shd w:val="clear" w:color="auto" w:fill="auto"/>
          </w:tcPr>
          <w:p w14:paraId="273789C6"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0.01±0.00</w:t>
            </w:r>
          </w:p>
        </w:tc>
        <w:tc>
          <w:tcPr>
            <w:tcW w:w="1418" w:type="dxa"/>
            <w:tcBorders>
              <w:top w:val="single" w:sz="12" w:space="0" w:color="auto"/>
            </w:tcBorders>
            <w:shd w:val="clear" w:color="auto" w:fill="auto"/>
          </w:tcPr>
          <w:p w14:paraId="18AD28E7"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72.0±17.09</w:t>
            </w:r>
          </w:p>
        </w:tc>
        <w:tc>
          <w:tcPr>
            <w:tcW w:w="1559" w:type="dxa"/>
            <w:tcBorders>
              <w:top w:val="single" w:sz="12" w:space="0" w:color="auto"/>
            </w:tcBorders>
            <w:shd w:val="clear" w:color="auto" w:fill="auto"/>
          </w:tcPr>
          <w:p w14:paraId="4606F3B2"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63.33±10.60</w:t>
            </w:r>
          </w:p>
        </w:tc>
      </w:tr>
      <w:tr w:rsidR="00501CFE" w:rsidRPr="00033BEA" w14:paraId="7E4B1E23" w14:textId="77777777" w:rsidTr="00C0606A">
        <w:trPr>
          <w:trHeight w:val="521"/>
          <w:jc w:val="center"/>
        </w:trPr>
        <w:tc>
          <w:tcPr>
            <w:tcW w:w="2049" w:type="dxa"/>
            <w:shd w:val="clear" w:color="auto" w:fill="auto"/>
          </w:tcPr>
          <w:p w14:paraId="3D9AFDCC"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Chicken egg yolk</w:t>
            </w:r>
          </w:p>
        </w:tc>
        <w:tc>
          <w:tcPr>
            <w:tcW w:w="1307" w:type="dxa"/>
            <w:shd w:val="clear" w:color="auto" w:fill="auto"/>
          </w:tcPr>
          <w:p w14:paraId="7E0759B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0.01±0.01</w:t>
            </w:r>
          </w:p>
        </w:tc>
        <w:tc>
          <w:tcPr>
            <w:tcW w:w="1307" w:type="dxa"/>
            <w:shd w:val="clear" w:color="auto" w:fill="auto"/>
          </w:tcPr>
          <w:p w14:paraId="7B0AB7AB"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0.05±0.03</w:t>
            </w:r>
          </w:p>
        </w:tc>
        <w:tc>
          <w:tcPr>
            <w:tcW w:w="1134" w:type="dxa"/>
            <w:shd w:val="clear" w:color="auto" w:fill="auto"/>
          </w:tcPr>
          <w:p w14:paraId="65351FAB"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1.5±0.09</w:t>
            </w:r>
          </w:p>
        </w:tc>
        <w:tc>
          <w:tcPr>
            <w:tcW w:w="1417" w:type="dxa"/>
            <w:shd w:val="clear" w:color="auto" w:fill="auto"/>
          </w:tcPr>
          <w:p w14:paraId="420CC966"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0.02±0.01</w:t>
            </w:r>
          </w:p>
        </w:tc>
        <w:tc>
          <w:tcPr>
            <w:tcW w:w="1418" w:type="dxa"/>
            <w:shd w:val="clear" w:color="auto" w:fill="auto"/>
          </w:tcPr>
          <w:p w14:paraId="7F972591"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78.3±10.40</w:t>
            </w:r>
          </w:p>
        </w:tc>
        <w:tc>
          <w:tcPr>
            <w:tcW w:w="1559" w:type="dxa"/>
            <w:shd w:val="clear" w:color="auto" w:fill="auto"/>
          </w:tcPr>
          <w:p w14:paraId="648931DF"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71.67±11.55</w:t>
            </w:r>
          </w:p>
        </w:tc>
      </w:tr>
      <w:tr w:rsidR="00501CFE" w:rsidRPr="00033BEA" w14:paraId="6BEA7592" w14:textId="77777777" w:rsidTr="00C0606A">
        <w:trPr>
          <w:trHeight w:val="454"/>
          <w:jc w:val="center"/>
        </w:trPr>
        <w:tc>
          <w:tcPr>
            <w:tcW w:w="2049" w:type="dxa"/>
            <w:tcBorders>
              <w:bottom w:val="single" w:sz="12" w:space="0" w:color="auto"/>
            </w:tcBorders>
            <w:shd w:val="clear" w:color="auto" w:fill="auto"/>
          </w:tcPr>
          <w:p w14:paraId="22D014A9"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Soybean</w:t>
            </w:r>
          </w:p>
        </w:tc>
        <w:tc>
          <w:tcPr>
            <w:tcW w:w="1307" w:type="dxa"/>
            <w:tcBorders>
              <w:bottom w:val="single" w:sz="12" w:space="0" w:color="auto"/>
            </w:tcBorders>
            <w:shd w:val="clear" w:color="auto" w:fill="auto"/>
          </w:tcPr>
          <w:p w14:paraId="23B5591C"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0.01±0.01</w:t>
            </w:r>
          </w:p>
        </w:tc>
        <w:tc>
          <w:tcPr>
            <w:tcW w:w="1307" w:type="dxa"/>
            <w:tcBorders>
              <w:bottom w:val="single" w:sz="12" w:space="0" w:color="auto"/>
            </w:tcBorders>
            <w:shd w:val="clear" w:color="auto" w:fill="auto"/>
          </w:tcPr>
          <w:p w14:paraId="7F28461C"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0.06±0.02</w:t>
            </w:r>
          </w:p>
        </w:tc>
        <w:tc>
          <w:tcPr>
            <w:tcW w:w="1134" w:type="dxa"/>
            <w:tcBorders>
              <w:bottom w:val="single" w:sz="12" w:space="0" w:color="auto"/>
            </w:tcBorders>
            <w:shd w:val="clear" w:color="auto" w:fill="auto"/>
          </w:tcPr>
          <w:p w14:paraId="47169031"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1.5±0.07</w:t>
            </w:r>
          </w:p>
        </w:tc>
        <w:tc>
          <w:tcPr>
            <w:tcW w:w="1417" w:type="dxa"/>
            <w:tcBorders>
              <w:bottom w:val="single" w:sz="12" w:space="0" w:color="auto"/>
            </w:tcBorders>
            <w:shd w:val="clear" w:color="auto" w:fill="auto"/>
          </w:tcPr>
          <w:p w14:paraId="47A6708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0.015±0.02</w:t>
            </w:r>
          </w:p>
        </w:tc>
        <w:tc>
          <w:tcPr>
            <w:tcW w:w="1418" w:type="dxa"/>
            <w:tcBorders>
              <w:bottom w:val="single" w:sz="12" w:space="0" w:color="auto"/>
            </w:tcBorders>
            <w:shd w:val="clear" w:color="auto" w:fill="auto"/>
          </w:tcPr>
          <w:p w14:paraId="5738DFBC"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85.0±5.00</w:t>
            </w:r>
          </w:p>
        </w:tc>
        <w:tc>
          <w:tcPr>
            <w:tcW w:w="1559" w:type="dxa"/>
            <w:tcBorders>
              <w:bottom w:val="single" w:sz="12" w:space="0" w:color="auto"/>
            </w:tcBorders>
            <w:shd w:val="clear" w:color="auto" w:fill="auto"/>
          </w:tcPr>
          <w:p w14:paraId="3BEC1B92"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71.00±17.06</w:t>
            </w:r>
          </w:p>
        </w:tc>
      </w:tr>
    </w:tbl>
    <w:p w14:paraId="1CAD5176" w14:textId="77777777" w:rsidR="00501CFE" w:rsidRPr="00033BEA" w:rsidRDefault="00501CFE" w:rsidP="00501CFE">
      <w:pPr>
        <w:widowControl w:val="0"/>
        <w:autoSpaceDE w:val="0"/>
        <w:autoSpaceDN w:val="0"/>
        <w:adjustRightInd w:val="0"/>
        <w:rPr>
          <w:rFonts w:eastAsia="Times New Roman" w:cs="Calibri"/>
          <w:iCs/>
          <w:sz w:val="24"/>
          <w:szCs w:val="24"/>
        </w:rPr>
      </w:pPr>
      <w:r w:rsidRPr="00033BEA">
        <w:rPr>
          <w:rFonts w:eastAsia="Times New Roman" w:cs="Calibri"/>
          <w:iCs/>
          <w:sz w:val="24"/>
          <w:szCs w:val="24"/>
        </w:rPr>
        <w:t>NB: NH</w:t>
      </w:r>
      <w:r w:rsidRPr="00033BEA">
        <w:rPr>
          <w:rFonts w:eastAsia="Times New Roman" w:cs="Calibri"/>
          <w:iCs/>
          <w:sz w:val="24"/>
          <w:szCs w:val="24"/>
          <w:vertAlign w:val="subscript"/>
        </w:rPr>
        <w:t xml:space="preserve">3 </w:t>
      </w:r>
      <w:r w:rsidRPr="00033BEA">
        <w:rPr>
          <w:rFonts w:eastAsia="Times New Roman" w:cs="Calibri"/>
          <w:iCs/>
          <w:sz w:val="24"/>
          <w:szCs w:val="24"/>
        </w:rPr>
        <w:t>= Ammonia, PO</w:t>
      </w:r>
      <w:r w:rsidRPr="00033BEA">
        <w:rPr>
          <w:rFonts w:eastAsia="Times New Roman" w:cs="Calibri"/>
          <w:iCs/>
          <w:sz w:val="24"/>
          <w:szCs w:val="24"/>
          <w:vertAlign w:val="subscript"/>
        </w:rPr>
        <w:t xml:space="preserve">4 </w:t>
      </w:r>
      <w:r w:rsidRPr="00033BEA">
        <w:rPr>
          <w:rFonts w:eastAsia="Times New Roman" w:cs="Calibri"/>
          <w:iCs/>
          <w:sz w:val="24"/>
          <w:szCs w:val="24"/>
        </w:rPr>
        <w:t>= Phosphate, NO</w:t>
      </w:r>
      <w:r w:rsidRPr="00033BEA">
        <w:rPr>
          <w:rFonts w:eastAsia="Times New Roman" w:cs="Calibri"/>
          <w:iCs/>
          <w:sz w:val="24"/>
          <w:szCs w:val="24"/>
          <w:vertAlign w:val="subscript"/>
        </w:rPr>
        <w:t xml:space="preserve">3 </w:t>
      </w:r>
      <w:r w:rsidRPr="00033BEA">
        <w:rPr>
          <w:rFonts w:eastAsia="Times New Roman" w:cs="Calibri"/>
          <w:iCs/>
          <w:sz w:val="24"/>
          <w:szCs w:val="24"/>
        </w:rPr>
        <w:t>= Nitrate, NO</w:t>
      </w:r>
      <w:r w:rsidRPr="00033BEA">
        <w:rPr>
          <w:rFonts w:eastAsia="Times New Roman" w:cs="Calibri"/>
          <w:iCs/>
          <w:sz w:val="24"/>
          <w:szCs w:val="24"/>
          <w:vertAlign w:val="subscript"/>
        </w:rPr>
        <w:t xml:space="preserve">2 </w:t>
      </w:r>
      <w:r w:rsidRPr="00033BEA">
        <w:rPr>
          <w:rFonts w:eastAsia="Times New Roman" w:cs="Calibri"/>
          <w:iCs/>
          <w:sz w:val="24"/>
          <w:szCs w:val="24"/>
        </w:rPr>
        <w:t>=</w:t>
      </w:r>
      <w:r w:rsidRPr="00033BEA">
        <w:rPr>
          <w:rFonts w:eastAsia="Times New Roman" w:cs="Calibri"/>
          <w:iCs/>
          <w:sz w:val="24"/>
          <w:szCs w:val="24"/>
          <w:vertAlign w:val="subscript"/>
        </w:rPr>
        <w:t xml:space="preserve"> </w:t>
      </w:r>
      <w:r w:rsidRPr="00033BEA">
        <w:rPr>
          <w:rFonts w:eastAsia="Times New Roman" w:cs="Calibri"/>
          <w:iCs/>
          <w:sz w:val="24"/>
          <w:szCs w:val="24"/>
        </w:rPr>
        <w:t xml:space="preserve">Nitrite, mg/L = Milligram per litter, </w:t>
      </w:r>
      <w:r w:rsidRPr="00033BEA">
        <w:rPr>
          <w:rFonts w:eastAsia="Times New Roman" w:cs="Calibri"/>
          <w:i/>
          <w:sz w:val="24"/>
          <w:szCs w:val="24"/>
        </w:rPr>
        <w:t>D. magna</w:t>
      </w:r>
      <w:r w:rsidRPr="00033BEA">
        <w:rPr>
          <w:rFonts w:eastAsia="Times New Roman" w:cs="Calibri"/>
          <w:iCs/>
          <w:sz w:val="24"/>
          <w:szCs w:val="24"/>
        </w:rPr>
        <w:t xml:space="preserve"> = </w:t>
      </w:r>
      <w:r w:rsidRPr="00033BEA">
        <w:rPr>
          <w:rFonts w:eastAsia="Times New Roman" w:cs="Calibri"/>
          <w:i/>
          <w:sz w:val="24"/>
          <w:szCs w:val="24"/>
        </w:rPr>
        <w:t>Daphnia magna</w:t>
      </w:r>
      <w:r w:rsidRPr="00033BEA">
        <w:rPr>
          <w:rFonts w:eastAsia="Times New Roman" w:cs="Calibri"/>
          <w:iCs/>
          <w:sz w:val="24"/>
          <w:szCs w:val="24"/>
        </w:rPr>
        <w:t xml:space="preserve">, </w:t>
      </w:r>
      <w:r w:rsidRPr="00033BEA">
        <w:rPr>
          <w:rFonts w:eastAsia="Times New Roman" w:cs="Calibri"/>
          <w:iCs/>
          <w:sz w:val="24"/>
          <w:szCs w:val="24"/>
          <w:vertAlign w:val="subscript"/>
        </w:rPr>
        <w:t>CaCO3</w:t>
      </w:r>
      <w:r w:rsidRPr="00033BEA">
        <w:rPr>
          <w:rFonts w:eastAsia="Times New Roman" w:cs="Calibri"/>
          <w:sz w:val="24"/>
          <w:szCs w:val="24"/>
        </w:rPr>
        <w:t xml:space="preserve"> = Calcium carbonate</w:t>
      </w:r>
    </w:p>
    <w:p w14:paraId="401AD33D" w14:textId="77777777" w:rsidR="00501CFE" w:rsidRPr="00033BEA" w:rsidRDefault="00501CFE" w:rsidP="00501CFE">
      <w:pPr>
        <w:widowControl w:val="0"/>
        <w:autoSpaceDE w:val="0"/>
        <w:autoSpaceDN w:val="0"/>
        <w:adjustRightInd w:val="0"/>
        <w:rPr>
          <w:rFonts w:eastAsia="Times New Roman" w:cs="Calibri"/>
          <w:sz w:val="24"/>
          <w:szCs w:val="24"/>
        </w:rPr>
      </w:pPr>
    </w:p>
    <w:p w14:paraId="2765A1AD" w14:textId="77777777" w:rsidR="00501CFE" w:rsidRDefault="00501CFE" w:rsidP="00501CFE">
      <w:pPr>
        <w:widowControl w:val="0"/>
        <w:autoSpaceDE w:val="0"/>
        <w:autoSpaceDN w:val="0"/>
        <w:adjustRightInd w:val="0"/>
        <w:rPr>
          <w:rFonts w:eastAsia="Times New Roman" w:cs="Calibri"/>
          <w:sz w:val="24"/>
          <w:szCs w:val="24"/>
        </w:rPr>
        <w:sectPr w:rsidR="00501CFE" w:rsidSect="00501CFE">
          <w:type w:val="continuous"/>
          <w:pgSz w:w="11907" w:h="16839" w:code="9"/>
          <w:pgMar w:top="1440" w:right="1440" w:bottom="1440" w:left="1440" w:header="720" w:footer="720" w:gutter="0"/>
          <w:cols w:space="720"/>
          <w:docGrid w:linePitch="360"/>
        </w:sectPr>
      </w:pPr>
    </w:p>
    <w:p w14:paraId="6026ADEA" w14:textId="39D7D07A" w:rsidR="00501CFE" w:rsidRPr="00033BEA" w:rsidRDefault="00501CFE" w:rsidP="00501CFE">
      <w:pPr>
        <w:widowControl w:val="0"/>
        <w:autoSpaceDE w:val="0"/>
        <w:autoSpaceDN w:val="0"/>
        <w:adjustRightInd w:val="0"/>
        <w:rPr>
          <w:rFonts w:eastAsia="Times New Roman" w:cs="Calibri"/>
          <w:sz w:val="24"/>
          <w:szCs w:val="24"/>
        </w:rPr>
      </w:pPr>
      <w:r w:rsidRPr="00033BEA">
        <w:rPr>
          <w:rFonts w:eastAsia="Times New Roman" w:cs="Calibri"/>
          <w:sz w:val="24"/>
          <w:szCs w:val="24"/>
        </w:rPr>
        <w:lastRenderedPageBreak/>
        <w:t xml:space="preserve">The final mean weight and total mean length of African catfish larvae were 0.25 g and 2.65 cm, respectively at live feed of </w:t>
      </w:r>
      <w:r w:rsidRPr="00033BEA">
        <w:rPr>
          <w:rFonts w:eastAsia="Times New Roman" w:cs="Calibri"/>
          <w:i/>
          <w:sz w:val="24"/>
          <w:szCs w:val="24"/>
        </w:rPr>
        <w:t xml:space="preserve">D. magna </w:t>
      </w:r>
      <w:r w:rsidRPr="00033BEA">
        <w:rPr>
          <w:rFonts w:eastAsia="Times New Roman" w:cs="Calibri"/>
          <w:iCs/>
          <w:sz w:val="24"/>
          <w:szCs w:val="24"/>
        </w:rPr>
        <w:t xml:space="preserve">fed </w:t>
      </w:r>
      <w:r w:rsidRPr="00033BEA">
        <w:rPr>
          <w:rFonts w:eastAsia="Times New Roman" w:cs="Calibri"/>
          <w:sz w:val="24"/>
          <w:szCs w:val="24"/>
        </w:rPr>
        <w:t xml:space="preserve">group, while the final mean weight and total mean length at the feed of chicken yolk and soybean fed group were 0.029 g and 0.68 cm, and 0.01 g and 0.1 cm, respectively (Table 5). The highest weight gain was obtained in the live feed of </w:t>
      </w:r>
      <w:r w:rsidRPr="00033BEA">
        <w:rPr>
          <w:rFonts w:eastAsia="Times New Roman" w:cs="Calibri"/>
          <w:i/>
          <w:sz w:val="24"/>
          <w:szCs w:val="24"/>
        </w:rPr>
        <w:t>D. magna</w:t>
      </w:r>
      <w:r w:rsidRPr="00033BEA">
        <w:rPr>
          <w:rFonts w:eastAsia="Times New Roman" w:cs="Calibri"/>
          <w:sz w:val="24"/>
          <w:szCs w:val="24"/>
        </w:rPr>
        <w:t xml:space="preserve">, while the lowest mean weight gain of larvae was found in the artificial feed of soybean. The highest specific growth rate (0.23 g/day) of African catfish larva was obtained at the live feed of </w:t>
      </w:r>
      <w:r w:rsidRPr="00033BEA">
        <w:rPr>
          <w:rFonts w:eastAsia="Times New Roman" w:cs="Calibri"/>
          <w:i/>
          <w:sz w:val="24"/>
          <w:szCs w:val="24"/>
        </w:rPr>
        <w:t>D. magna</w:t>
      </w:r>
      <w:r w:rsidRPr="00033BEA">
        <w:rPr>
          <w:rFonts w:eastAsia="Times New Roman" w:cs="Calibri"/>
          <w:sz w:val="24"/>
          <w:szCs w:val="24"/>
        </w:rPr>
        <w:t xml:space="preserve">, while the lowest specific growth rate (0.01 g/day) was obtained at the feed of soybean fed group. The specific growth rate and mean weight gain of catfish larvae showed significant difference among all feeding groups (P ˂ 0.05). </w:t>
      </w:r>
    </w:p>
    <w:p w14:paraId="46EAD348" w14:textId="77777777" w:rsidR="00501CFE" w:rsidRPr="00033BEA" w:rsidRDefault="00501CFE" w:rsidP="00501CFE">
      <w:pPr>
        <w:widowControl w:val="0"/>
        <w:autoSpaceDE w:val="0"/>
        <w:autoSpaceDN w:val="0"/>
        <w:adjustRightInd w:val="0"/>
        <w:rPr>
          <w:rFonts w:eastAsia="Times New Roman" w:cs="Calibri"/>
          <w:sz w:val="24"/>
          <w:szCs w:val="24"/>
        </w:rPr>
      </w:pPr>
    </w:p>
    <w:p w14:paraId="39B852DD" w14:textId="77777777" w:rsidR="00501CFE" w:rsidRPr="00033BEA" w:rsidRDefault="00501CFE" w:rsidP="00501CFE">
      <w:pPr>
        <w:widowControl w:val="0"/>
        <w:autoSpaceDE w:val="0"/>
        <w:autoSpaceDN w:val="0"/>
        <w:adjustRightInd w:val="0"/>
        <w:rPr>
          <w:rFonts w:eastAsia="Times New Roman" w:cs="Calibri"/>
          <w:iCs/>
          <w:sz w:val="24"/>
          <w:szCs w:val="24"/>
        </w:rPr>
      </w:pPr>
      <w:r w:rsidRPr="00033BEA">
        <w:rPr>
          <w:rFonts w:eastAsia="Times New Roman" w:cs="Calibri"/>
          <w:sz w:val="24"/>
          <w:szCs w:val="24"/>
        </w:rPr>
        <w:t xml:space="preserve">The highest survive rate (30.37%) of the African catfish larvae was observed in the live feed of </w:t>
      </w:r>
      <w:r w:rsidRPr="00033BEA">
        <w:rPr>
          <w:rFonts w:eastAsia="Times New Roman" w:cs="Calibri"/>
          <w:i/>
          <w:sz w:val="24"/>
          <w:szCs w:val="24"/>
        </w:rPr>
        <w:t>D. magna</w:t>
      </w:r>
      <w:r w:rsidRPr="00033BEA">
        <w:rPr>
          <w:rFonts w:eastAsia="Times New Roman" w:cs="Calibri"/>
          <w:sz w:val="24"/>
          <w:szCs w:val="24"/>
        </w:rPr>
        <w:t xml:space="preserve"> while the lowest </w:t>
      </w:r>
      <w:r w:rsidRPr="00033BEA">
        <w:rPr>
          <w:rFonts w:eastAsia="Times New Roman" w:cs="Calibri"/>
          <w:sz w:val="24"/>
          <w:szCs w:val="24"/>
        </w:rPr>
        <w:t xml:space="preserve">survive rate (1%) was obtained in the artificial feed of soybean (Table 5). The survival rate of the African catfish larvae showed significant difference among the feeding group of the fish larvae (P &lt; 0.05). However, in this trial survival rate of African catfish larvae was less than 50%, i.e., low survival rate and high mortality rate. This might be due to the presence of </w:t>
      </w:r>
      <w:r w:rsidRPr="00033BEA">
        <w:rPr>
          <w:rFonts w:eastAsia="Times New Roman" w:cs="Calibri"/>
          <w:bCs/>
          <w:sz w:val="24"/>
          <w:szCs w:val="24"/>
        </w:rPr>
        <w:t>cannibalism behavior of African catfish and pathogens in the lake water used without chemical treatments</w:t>
      </w:r>
      <w:r w:rsidRPr="00033BEA">
        <w:rPr>
          <w:rFonts w:eastAsia="Times New Roman" w:cs="Calibri"/>
          <w:b/>
          <w:bCs/>
          <w:sz w:val="24"/>
          <w:szCs w:val="24"/>
        </w:rPr>
        <w:t xml:space="preserve"> </w:t>
      </w:r>
      <w:r w:rsidRPr="00033BEA">
        <w:rPr>
          <w:rFonts w:eastAsia="Times New Roman" w:cs="Calibri"/>
          <w:bCs/>
          <w:sz w:val="24"/>
          <w:szCs w:val="24"/>
        </w:rPr>
        <w:t xml:space="preserve">(Mukai et al 2013) and not the problem of live feed (D. magna is employed as a live feed for the fish, and no health issues have been reported naturally) which is very sensitive than the catfish larvae. Even though, high mortality of catfish was registered in this experiment, according to </w:t>
      </w:r>
      <w:r w:rsidRPr="00033BEA">
        <w:rPr>
          <w:rFonts w:eastAsia="Times New Roman" w:cs="Calibri"/>
          <w:bCs/>
          <w:iCs/>
          <w:sz w:val="24"/>
          <w:szCs w:val="24"/>
        </w:rPr>
        <w:t>FAO (1996) and</w:t>
      </w:r>
      <w:r w:rsidRPr="00033BEA">
        <w:rPr>
          <w:rFonts w:eastAsia="Times New Roman" w:cs="Calibri"/>
          <w:bCs/>
          <w:sz w:val="24"/>
          <w:szCs w:val="24"/>
        </w:rPr>
        <w:t xml:space="preserve"> Kraul (1989) </w:t>
      </w:r>
      <w:r w:rsidRPr="00033BEA">
        <w:rPr>
          <w:rFonts w:eastAsia="Times New Roman" w:cs="Calibri"/>
          <w:bCs/>
          <w:iCs/>
          <w:sz w:val="24"/>
          <w:szCs w:val="24"/>
        </w:rPr>
        <w:t>live planktonic food is very important to</w:t>
      </w:r>
      <w:r w:rsidRPr="00033BEA">
        <w:rPr>
          <w:rFonts w:eastAsia="Times New Roman" w:cs="Calibri"/>
          <w:iCs/>
          <w:sz w:val="24"/>
          <w:szCs w:val="24"/>
        </w:rPr>
        <w:t xml:space="preserve"> fulfill the required balanced diet for better survival and growth of fish larvae and solved the deficiency and inaccessibility of Artemia</w:t>
      </w:r>
      <w:r w:rsidRPr="00033BEA">
        <w:rPr>
          <w:rFonts w:eastAsia="Times New Roman" w:cs="Calibri"/>
          <w:i/>
          <w:sz w:val="24"/>
          <w:szCs w:val="24"/>
        </w:rPr>
        <w:t xml:space="preserve"> </w:t>
      </w:r>
      <w:r w:rsidRPr="00033BEA">
        <w:rPr>
          <w:rFonts w:eastAsia="Times New Roman" w:cs="Calibri"/>
          <w:sz w:val="24"/>
          <w:szCs w:val="24"/>
        </w:rPr>
        <w:t>cysts</w:t>
      </w:r>
      <w:r w:rsidRPr="00033BEA">
        <w:rPr>
          <w:rFonts w:eastAsia="Times New Roman" w:cs="Calibri"/>
          <w:iCs/>
          <w:sz w:val="24"/>
          <w:szCs w:val="24"/>
        </w:rPr>
        <w:t xml:space="preserve">. </w:t>
      </w:r>
    </w:p>
    <w:p w14:paraId="4E49B41E" w14:textId="77777777" w:rsidR="00501CFE" w:rsidRDefault="00501CFE" w:rsidP="00501CFE">
      <w:pPr>
        <w:rPr>
          <w:rFonts w:eastAsia="Times New Roman" w:cs="Calibri"/>
          <w:b/>
          <w:bCs/>
          <w:sz w:val="24"/>
          <w:szCs w:val="24"/>
        </w:rPr>
        <w:sectPr w:rsidR="00501CFE" w:rsidSect="00501CFE">
          <w:type w:val="continuous"/>
          <w:pgSz w:w="11907" w:h="16839" w:code="9"/>
          <w:pgMar w:top="1440" w:right="1440" w:bottom="1440" w:left="1440" w:header="720" w:footer="720" w:gutter="0"/>
          <w:cols w:num="2" w:space="720"/>
          <w:docGrid w:linePitch="360"/>
        </w:sectPr>
      </w:pPr>
    </w:p>
    <w:p w14:paraId="6F4FBCBA" w14:textId="00F83D06" w:rsidR="00501CFE" w:rsidRPr="00033BEA" w:rsidRDefault="00501CFE" w:rsidP="00501CFE">
      <w:pPr>
        <w:rPr>
          <w:rFonts w:eastAsia="Times New Roman" w:cs="Calibri"/>
          <w:b/>
          <w:bCs/>
          <w:sz w:val="24"/>
          <w:szCs w:val="24"/>
        </w:rPr>
      </w:pPr>
    </w:p>
    <w:p w14:paraId="6108209B" w14:textId="77777777" w:rsidR="00501CFE" w:rsidRPr="00033BEA" w:rsidRDefault="00501CFE" w:rsidP="00501CFE">
      <w:pPr>
        <w:widowControl w:val="0"/>
        <w:autoSpaceDE w:val="0"/>
        <w:autoSpaceDN w:val="0"/>
        <w:rPr>
          <w:rFonts w:eastAsia="Times New Roman" w:cs="Calibri"/>
          <w:b/>
          <w:sz w:val="24"/>
          <w:szCs w:val="24"/>
        </w:rPr>
      </w:pPr>
      <w:r w:rsidRPr="00033BEA">
        <w:rPr>
          <w:rFonts w:eastAsia="Times New Roman" w:cs="Calibri"/>
          <w:sz w:val="24"/>
          <w:szCs w:val="24"/>
        </w:rPr>
        <w:t>Table 5: Show the mean body length, weight (mean ± standard deviation), survival rate and specific growth rate of catfish larvae (</w:t>
      </w:r>
      <w:r w:rsidRPr="00033BEA">
        <w:rPr>
          <w:rFonts w:eastAsia="Times New Roman" w:cs="Calibri"/>
          <w:i/>
          <w:sz w:val="24"/>
          <w:szCs w:val="24"/>
        </w:rPr>
        <w:t>Clarias gariepinus</w:t>
      </w:r>
      <w:r w:rsidRPr="00033BEA">
        <w:rPr>
          <w:rFonts w:eastAsia="Times New Roman" w:cs="Calibri"/>
          <w:sz w:val="24"/>
          <w:szCs w:val="24"/>
        </w:rPr>
        <w:t>).</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080"/>
        <w:gridCol w:w="1406"/>
        <w:gridCol w:w="1260"/>
        <w:gridCol w:w="900"/>
        <w:gridCol w:w="990"/>
        <w:gridCol w:w="1440"/>
        <w:gridCol w:w="1530"/>
      </w:tblGrid>
      <w:tr w:rsidR="00501CFE" w:rsidRPr="00033BEA" w14:paraId="64E2E4B1" w14:textId="77777777" w:rsidTr="00C0606A">
        <w:trPr>
          <w:jc w:val="center"/>
        </w:trPr>
        <w:tc>
          <w:tcPr>
            <w:tcW w:w="1188" w:type="dxa"/>
          </w:tcPr>
          <w:p w14:paraId="0FD7CFE0"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 xml:space="preserve">Types </w:t>
            </w:r>
          </w:p>
          <w:p w14:paraId="654E77A0"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of feed</w:t>
            </w:r>
          </w:p>
        </w:tc>
        <w:tc>
          <w:tcPr>
            <w:tcW w:w="1080" w:type="dxa"/>
          </w:tcPr>
          <w:p w14:paraId="0E50184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Initial weight (g)</w:t>
            </w:r>
          </w:p>
        </w:tc>
        <w:tc>
          <w:tcPr>
            <w:tcW w:w="1406" w:type="dxa"/>
          </w:tcPr>
          <w:p w14:paraId="31BF5B5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Final weight (g)</w:t>
            </w:r>
          </w:p>
        </w:tc>
        <w:tc>
          <w:tcPr>
            <w:tcW w:w="1260" w:type="dxa"/>
          </w:tcPr>
          <w:p w14:paraId="1520F241"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Final length (cm)</w:t>
            </w:r>
          </w:p>
        </w:tc>
        <w:tc>
          <w:tcPr>
            <w:tcW w:w="900" w:type="dxa"/>
          </w:tcPr>
          <w:p w14:paraId="2BFA5792"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Survival rate (%)</w:t>
            </w:r>
          </w:p>
        </w:tc>
        <w:tc>
          <w:tcPr>
            <w:tcW w:w="990" w:type="dxa"/>
          </w:tcPr>
          <w:p w14:paraId="3DFE391B"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Mortality rate (%)</w:t>
            </w:r>
          </w:p>
        </w:tc>
        <w:tc>
          <w:tcPr>
            <w:tcW w:w="1440" w:type="dxa"/>
          </w:tcPr>
          <w:p w14:paraId="5CE19C12"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Mean weight gain (g)</w:t>
            </w:r>
          </w:p>
          <w:p w14:paraId="562D4185" w14:textId="77777777" w:rsidR="00501CFE" w:rsidRPr="00033BEA" w:rsidRDefault="00501CFE" w:rsidP="00C0606A">
            <w:pPr>
              <w:widowControl w:val="0"/>
              <w:autoSpaceDE w:val="0"/>
              <w:autoSpaceDN w:val="0"/>
              <w:rPr>
                <w:rFonts w:eastAsia="Times New Roman" w:cs="Calibri"/>
                <w:bCs/>
                <w:sz w:val="24"/>
                <w:szCs w:val="24"/>
              </w:rPr>
            </w:pPr>
          </w:p>
        </w:tc>
        <w:tc>
          <w:tcPr>
            <w:tcW w:w="1530" w:type="dxa"/>
          </w:tcPr>
          <w:p w14:paraId="21376322"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Specific growth rate gday</w:t>
            </w:r>
            <w:r w:rsidRPr="00033BEA">
              <w:rPr>
                <w:rFonts w:eastAsia="Times New Roman" w:cs="Calibri"/>
                <w:bCs/>
                <w:sz w:val="24"/>
                <w:szCs w:val="24"/>
                <w:vertAlign w:val="superscript"/>
              </w:rPr>
              <w:t>-1</w:t>
            </w:r>
          </w:p>
        </w:tc>
      </w:tr>
      <w:tr w:rsidR="00501CFE" w:rsidRPr="00033BEA" w14:paraId="11CB1D3C" w14:textId="77777777" w:rsidTr="00C0606A">
        <w:trPr>
          <w:jc w:val="center"/>
        </w:trPr>
        <w:tc>
          <w:tcPr>
            <w:tcW w:w="1188" w:type="dxa"/>
          </w:tcPr>
          <w:p w14:paraId="6F6C563B"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Live feed (</w:t>
            </w:r>
            <w:r w:rsidRPr="00033BEA">
              <w:rPr>
                <w:rFonts w:eastAsia="Times New Roman" w:cs="Calibri"/>
                <w:i/>
                <w:sz w:val="24"/>
                <w:szCs w:val="24"/>
              </w:rPr>
              <w:t>D. magna</w:t>
            </w:r>
            <w:r w:rsidRPr="00033BEA">
              <w:rPr>
                <w:rFonts w:eastAsia="Times New Roman" w:cs="Calibri"/>
                <w:sz w:val="24"/>
                <w:szCs w:val="24"/>
              </w:rPr>
              <w:t>)</w:t>
            </w:r>
          </w:p>
        </w:tc>
        <w:tc>
          <w:tcPr>
            <w:tcW w:w="1080" w:type="dxa"/>
          </w:tcPr>
          <w:p w14:paraId="2A34FFE9"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0.01</w:t>
            </w:r>
          </w:p>
        </w:tc>
        <w:tc>
          <w:tcPr>
            <w:tcW w:w="1406" w:type="dxa"/>
          </w:tcPr>
          <w:p w14:paraId="4E4A4577"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0.25±0.46</w:t>
            </w:r>
          </w:p>
        </w:tc>
        <w:tc>
          <w:tcPr>
            <w:tcW w:w="1260" w:type="dxa"/>
          </w:tcPr>
          <w:p w14:paraId="1257CC70"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2.65±0.91</w:t>
            </w:r>
          </w:p>
        </w:tc>
        <w:tc>
          <w:tcPr>
            <w:tcW w:w="900" w:type="dxa"/>
          </w:tcPr>
          <w:p w14:paraId="4D4A8EDF"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30.37</w:t>
            </w:r>
          </w:p>
        </w:tc>
        <w:tc>
          <w:tcPr>
            <w:tcW w:w="990" w:type="dxa"/>
          </w:tcPr>
          <w:p w14:paraId="4057E4F7"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69.62</w:t>
            </w:r>
          </w:p>
        </w:tc>
        <w:tc>
          <w:tcPr>
            <w:tcW w:w="1440" w:type="dxa"/>
          </w:tcPr>
          <w:p w14:paraId="06F7BD69"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0.24</w:t>
            </w:r>
          </w:p>
        </w:tc>
        <w:tc>
          <w:tcPr>
            <w:tcW w:w="1530" w:type="dxa"/>
          </w:tcPr>
          <w:p w14:paraId="692A2B46"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0.23</w:t>
            </w:r>
          </w:p>
        </w:tc>
      </w:tr>
      <w:tr w:rsidR="00501CFE" w:rsidRPr="00033BEA" w14:paraId="5C9FE394" w14:textId="77777777" w:rsidTr="00C0606A">
        <w:trPr>
          <w:jc w:val="center"/>
        </w:trPr>
        <w:tc>
          <w:tcPr>
            <w:tcW w:w="1188" w:type="dxa"/>
          </w:tcPr>
          <w:p w14:paraId="382D437D"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Chicken egg yolk</w:t>
            </w:r>
          </w:p>
        </w:tc>
        <w:tc>
          <w:tcPr>
            <w:tcW w:w="1080" w:type="dxa"/>
          </w:tcPr>
          <w:p w14:paraId="3B82F132"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0.01</w:t>
            </w:r>
          </w:p>
        </w:tc>
        <w:tc>
          <w:tcPr>
            <w:tcW w:w="1406" w:type="dxa"/>
          </w:tcPr>
          <w:p w14:paraId="296BDC63"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0.02±0.01</w:t>
            </w:r>
          </w:p>
        </w:tc>
        <w:tc>
          <w:tcPr>
            <w:tcW w:w="1260" w:type="dxa"/>
          </w:tcPr>
          <w:p w14:paraId="29F297E9"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0.68±0.50</w:t>
            </w:r>
          </w:p>
        </w:tc>
        <w:tc>
          <w:tcPr>
            <w:tcW w:w="900" w:type="dxa"/>
          </w:tcPr>
          <w:p w14:paraId="5ABA863B"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13</w:t>
            </w:r>
          </w:p>
        </w:tc>
        <w:tc>
          <w:tcPr>
            <w:tcW w:w="990" w:type="dxa"/>
          </w:tcPr>
          <w:p w14:paraId="40BC754D"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87</w:t>
            </w:r>
          </w:p>
        </w:tc>
        <w:tc>
          <w:tcPr>
            <w:tcW w:w="1440" w:type="dxa"/>
          </w:tcPr>
          <w:p w14:paraId="18ECEC15"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0.01</w:t>
            </w:r>
          </w:p>
        </w:tc>
        <w:tc>
          <w:tcPr>
            <w:tcW w:w="1530" w:type="dxa"/>
          </w:tcPr>
          <w:p w14:paraId="5429A4B0"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0.04</w:t>
            </w:r>
          </w:p>
        </w:tc>
      </w:tr>
      <w:tr w:rsidR="00501CFE" w:rsidRPr="00033BEA" w14:paraId="08FD4510" w14:textId="77777777" w:rsidTr="00C0606A">
        <w:trPr>
          <w:jc w:val="center"/>
        </w:trPr>
        <w:tc>
          <w:tcPr>
            <w:tcW w:w="1188" w:type="dxa"/>
          </w:tcPr>
          <w:p w14:paraId="7CEA9754"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Soybean</w:t>
            </w:r>
          </w:p>
        </w:tc>
        <w:tc>
          <w:tcPr>
            <w:tcW w:w="1080" w:type="dxa"/>
          </w:tcPr>
          <w:p w14:paraId="4EBC674D"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0.01</w:t>
            </w:r>
          </w:p>
        </w:tc>
        <w:tc>
          <w:tcPr>
            <w:tcW w:w="1406" w:type="dxa"/>
          </w:tcPr>
          <w:p w14:paraId="2CD3E37E"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0.01</w:t>
            </w:r>
          </w:p>
        </w:tc>
        <w:tc>
          <w:tcPr>
            <w:tcW w:w="1260" w:type="dxa"/>
          </w:tcPr>
          <w:p w14:paraId="57CB2F8A"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0.1</w:t>
            </w:r>
          </w:p>
        </w:tc>
        <w:tc>
          <w:tcPr>
            <w:tcW w:w="900" w:type="dxa"/>
          </w:tcPr>
          <w:p w14:paraId="28EBA803"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1</w:t>
            </w:r>
          </w:p>
        </w:tc>
        <w:tc>
          <w:tcPr>
            <w:tcW w:w="990" w:type="dxa"/>
          </w:tcPr>
          <w:p w14:paraId="73993DA0"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99</w:t>
            </w:r>
          </w:p>
        </w:tc>
        <w:tc>
          <w:tcPr>
            <w:tcW w:w="1440" w:type="dxa"/>
          </w:tcPr>
          <w:p w14:paraId="58DE085A"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0.00</w:t>
            </w:r>
          </w:p>
        </w:tc>
        <w:tc>
          <w:tcPr>
            <w:tcW w:w="1530" w:type="dxa"/>
          </w:tcPr>
          <w:p w14:paraId="58F34DD2"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0.01</w:t>
            </w:r>
          </w:p>
        </w:tc>
      </w:tr>
    </w:tbl>
    <w:p w14:paraId="774F2D22" w14:textId="77777777" w:rsidR="00501CFE" w:rsidRPr="00033BEA" w:rsidRDefault="00501CFE" w:rsidP="00501CFE">
      <w:pPr>
        <w:widowControl w:val="0"/>
        <w:autoSpaceDE w:val="0"/>
        <w:autoSpaceDN w:val="0"/>
        <w:rPr>
          <w:rFonts w:eastAsia="Times New Roman" w:cs="Calibri"/>
          <w:bCs/>
          <w:sz w:val="24"/>
          <w:szCs w:val="24"/>
        </w:rPr>
      </w:pPr>
    </w:p>
    <w:p w14:paraId="34703775" w14:textId="77777777" w:rsidR="00501CFE" w:rsidRDefault="00501CFE" w:rsidP="00501CFE">
      <w:pPr>
        <w:spacing w:after="160"/>
        <w:rPr>
          <w:rFonts w:eastAsia="Times New Roman" w:cs="Calibri"/>
          <w:sz w:val="24"/>
          <w:szCs w:val="24"/>
        </w:rPr>
        <w:sectPr w:rsidR="00501CFE" w:rsidSect="00501CFE">
          <w:type w:val="continuous"/>
          <w:pgSz w:w="11907" w:h="16839" w:code="9"/>
          <w:pgMar w:top="1440" w:right="1440" w:bottom="1440" w:left="1440" w:header="720" w:footer="720" w:gutter="0"/>
          <w:cols w:space="720"/>
          <w:docGrid w:linePitch="360"/>
        </w:sectPr>
      </w:pPr>
    </w:p>
    <w:p w14:paraId="338365A4" w14:textId="7C8FD1CA" w:rsidR="00501CFE" w:rsidRDefault="00501CFE" w:rsidP="00501CFE">
      <w:pPr>
        <w:spacing w:after="160"/>
        <w:rPr>
          <w:rFonts w:eastAsia="Times New Roman" w:cs="Calibri"/>
          <w:sz w:val="24"/>
          <w:szCs w:val="24"/>
        </w:rPr>
      </w:pPr>
      <w:r w:rsidRPr="00033BEA">
        <w:rPr>
          <w:rFonts w:eastAsia="Times New Roman" w:cs="Calibri"/>
          <w:sz w:val="24"/>
          <w:szCs w:val="24"/>
        </w:rPr>
        <w:t>The lack of change in development characteristics in the chicken egg yolk and soybean fed groups or artificial feed group could be due to the catfish larval being difficult to digest and use efficiently (Faruque et al 2010; Das et al 2012). As a result, catfish larvae required high-quality and abundant live zooplankton, such as D. magna (Faruque et al 2010).</w:t>
      </w:r>
    </w:p>
    <w:p w14:paraId="7961CDD2" w14:textId="77777777" w:rsidR="005F3199" w:rsidRPr="00033BEA" w:rsidRDefault="005F3199" w:rsidP="00501CFE">
      <w:pPr>
        <w:spacing w:after="160"/>
        <w:rPr>
          <w:rFonts w:eastAsia="Times New Roman" w:cs="Calibri"/>
          <w:sz w:val="24"/>
          <w:szCs w:val="24"/>
        </w:rPr>
      </w:pPr>
    </w:p>
    <w:p w14:paraId="52DF1AD2" w14:textId="25308F94" w:rsidR="00501CFE" w:rsidRPr="005F3199" w:rsidRDefault="00501CFE" w:rsidP="005F3199">
      <w:pPr>
        <w:pStyle w:val="ListParagraph"/>
        <w:widowControl w:val="0"/>
        <w:numPr>
          <w:ilvl w:val="0"/>
          <w:numId w:val="33"/>
        </w:numPr>
        <w:autoSpaceDE w:val="0"/>
        <w:autoSpaceDN w:val="0"/>
        <w:spacing w:after="240"/>
        <w:ind w:firstLineChars="0"/>
        <w:rPr>
          <w:rFonts w:eastAsia="Times New Roman" w:cs="Calibri"/>
          <w:b/>
          <w:bCs/>
          <w:sz w:val="24"/>
          <w:szCs w:val="24"/>
        </w:rPr>
      </w:pPr>
      <w:r w:rsidRPr="005F3199">
        <w:rPr>
          <w:rFonts w:eastAsia="Times New Roman" w:cs="Calibri"/>
          <w:b/>
          <w:bCs/>
          <w:sz w:val="24"/>
          <w:szCs w:val="24"/>
        </w:rPr>
        <w:t>CONCLUSIONS AND RECOMMENDATIONS</w:t>
      </w:r>
    </w:p>
    <w:p w14:paraId="5414C6C0"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 xml:space="preserve">The culture conditions of </w:t>
      </w:r>
      <w:r w:rsidRPr="00033BEA">
        <w:rPr>
          <w:rFonts w:eastAsia="Times New Roman" w:cs="Calibri"/>
          <w:i/>
          <w:sz w:val="24"/>
          <w:szCs w:val="24"/>
        </w:rPr>
        <w:t>Scenedesmus</w:t>
      </w:r>
      <w:r w:rsidRPr="00033BEA">
        <w:rPr>
          <w:rFonts w:eastAsia="Times New Roman" w:cs="Calibri"/>
          <w:i/>
          <w:iCs/>
          <w:sz w:val="24"/>
          <w:szCs w:val="24"/>
        </w:rPr>
        <w:t xml:space="preserve"> </w:t>
      </w:r>
      <w:r w:rsidRPr="00033BEA">
        <w:rPr>
          <w:rFonts w:eastAsia="Times New Roman" w:cs="Calibri"/>
          <w:sz w:val="24"/>
          <w:szCs w:val="24"/>
        </w:rPr>
        <w:t>sp</w:t>
      </w:r>
      <w:r w:rsidRPr="00033BEA">
        <w:rPr>
          <w:rFonts w:eastAsia="TimesNewRomanPSMT" w:cs="Calibri"/>
          <w:sz w:val="24"/>
          <w:szCs w:val="24"/>
        </w:rPr>
        <w:t>ecies had shown that best results of algae biomass growth could be achieved by using Guillard’s</w:t>
      </w:r>
      <w:r w:rsidRPr="00033BEA">
        <w:rPr>
          <w:rFonts w:eastAsia="Times New Roman" w:cs="Calibri"/>
          <w:bCs/>
          <w:sz w:val="24"/>
          <w:szCs w:val="24"/>
        </w:rPr>
        <w:t xml:space="preserve"> F/2 media</w:t>
      </w:r>
      <w:r w:rsidRPr="00033BEA">
        <w:rPr>
          <w:rFonts w:eastAsia="TimesNewRomanPSMT" w:cs="Calibri"/>
          <w:sz w:val="24"/>
          <w:szCs w:val="24"/>
        </w:rPr>
        <w:t xml:space="preserve"> and NPSZn fertilizers in batch experiments under laboratory conditions. The abundance of </w:t>
      </w:r>
      <w:r w:rsidRPr="00033BEA">
        <w:rPr>
          <w:rFonts w:eastAsia="Times New Roman" w:cs="Calibri"/>
          <w:i/>
          <w:sz w:val="24"/>
          <w:szCs w:val="24"/>
        </w:rPr>
        <w:t>Scenedesmus</w:t>
      </w:r>
      <w:r w:rsidRPr="00033BEA">
        <w:rPr>
          <w:rFonts w:eastAsia="Times New Roman" w:cs="Calibri"/>
          <w:i/>
          <w:iCs/>
          <w:sz w:val="24"/>
          <w:szCs w:val="24"/>
        </w:rPr>
        <w:t xml:space="preserve"> </w:t>
      </w:r>
      <w:r w:rsidRPr="00033BEA">
        <w:rPr>
          <w:rFonts w:eastAsia="Times New Roman" w:cs="Calibri"/>
          <w:sz w:val="24"/>
          <w:szCs w:val="24"/>
        </w:rPr>
        <w:t xml:space="preserve">sp. was </w:t>
      </w:r>
      <w:r w:rsidRPr="00033BEA">
        <w:rPr>
          <w:rFonts w:eastAsia="Times New Roman" w:cs="Calibri"/>
          <w:bCs/>
          <w:sz w:val="24"/>
          <w:szCs w:val="24"/>
        </w:rPr>
        <w:t>statistically</w:t>
      </w:r>
      <w:r w:rsidRPr="00033BEA">
        <w:rPr>
          <w:rFonts w:eastAsia="Times New Roman" w:cs="Calibri"/>
          <w:sz w:val="24"/>
          <w:szCs w:val="24"/>
        </w:rPr>
        <w:t xml:space="preserve"> insignificant in both of cultured media. </w:t>
      </w:r>
      <w:r w:rsidRPr="00033BEA">
        <w:rPr>
          <w:rFonts w:eastAsia="Times New Roman" w:cs="Calibri"/>
          <w:sz w:val="24"/>
          <w:szCs w:val="24"/>
        </w:rPr>
        <w:lastRenderedPageBreak/>
        <w:t xml:space="preserve">The </w:t>
      </w:r>
      <w:r w:rsidRPr="00033BEA">
        <w:rPr>
          <w:rFonts w:eastAsia="Times New Roman" w:cs="Calibri"/>
          <w:i/>
          <w:sz w:val="24"/>
          <w:szCs w:val="24"/>
        </w:rPr>
        <w:t>Scenedesmus</w:t>
      </w:r>
      <w:r w:rsidRPr="00033BEA">
        <w:rPr>
          <w:rFonts w:eastAsia="Times New Roman" w:cs="Calibri"/>
          <w:sz w:val="24"/>
          <w:szCs w:val="24"/>
        </w:rPr>
        <w:t xml:space="preserve"> species were good candidate food for culturing </w:t>
      </w:r>
      <w:r w:rsidRPr="00033BEA">
        <w:rPr>
          <w:rFonts w:eastAsia="Times New Roman" w:cs="Calibri"/>
          <w:i/>
          <w:sz w:val="24"/>
          <w:szCs w:val="24"/>
        </w:rPr>
        <w:t>D. magna</w:t>
      </w:r>
      <w:r w:rsidRPr="00033BEA">
        <w:rPr>
          <w:rFonts w:eastAsia="Times New Roman" w:cs="Calibri"/>
          <w:sz w:val="24"/>
          <w:szCs w:val="24"/>
        </w:rPr>
        <w:t xml:space="preserve">.  The live feed of </w:t>
      </w:r>
      <w:r w:rsidRPr="00033BEA">
        <w:rPr>
          <w:rFonts w:eastAsia="Times New Roman" w:cs="Calibri"/>
          <w:i/>
          <w:sz w:val="24"/>
          <w:szCs w:val="24"/>
        </w:rPr>
        <w:t>Daphnia</w:t>
      </w:r>
      <w:r w:rsidRPr="00033BEA">
        <w:rPr>
          <w:rFonts w:eastAsia="Times New Roman" w:cs="Calibri"/>
          <w:sz w:val="24"/>
          <w:szCs w:val="24"/>
        </w:rPr>
        <w:t xml:space="preserve"> sp. was essential for African catfish larvae growth and survival rate within two weeks and could potentially replace the </w:t>
      </w:r>
      <w:bookmarkStart w:id="8" w:name="_Hlk101960849"/>
      <w:r w:rsidRPr="00033BEA">
        <w:rPr>
          <w:rFonts w:eastAsia="Times New Roman" w:cs="Calibri"/>
          <w:i/>
          <w:sz w:val="24"/>
          <w:szCs w:val="24"/>
        </w:rPr>
        <w:t>Artemia</w:t>
      </w:r>
      <w:bookmarkEnd w:id="8"/>
      <w:r w:rsidRPr="00033BEA">
        <w:rPr>
          <w:rFonts w:eastAsia="Times New Roman" w:cs="Calibri"/>
          <w:i/>
          <w:sz w:val="24"/>
          <w:szCs w:val="24"/>
        </w:rPr>
        <w:t xml:space="preserve"> </w:t>
      </w:r>
      <w:r w:rsidRPr="00033BEA">
        <w:rPr>
          <w:rFonts w:eastAsia="Times New Roman" w:cs="Calibri"/>
          <w:sz w:val="24"/>
          <w:szCs w:val="24"/>
        </w:rPr>
        <w:t>cysts because the fish larvae had shown fast growth and good body weight gain when compared with artificial feed of soybean. That means</w:t>
      </w:r>
      <w:r w:rsidRPr="00033BEA">
        <w:rPr>
          <w:rFonts w:eastAsia="Times New Roman" w:cs="Calibri"/>
          <w:b/>
          <w:bCs/>
          <w:kern w:val="32"/>
          <w:sz w:val="24"/>
          <w:szCs w:val="24"/>
          <w:lang w:val="x-none" w:eastAsia="x-none"/>
        </w:rPr>
        <w:t xml:space="preserve"> </w:t>
      </w:r>
      <w:r w:rsidRPr="00033BEA">
        <w:rPr>
          <w:rFonts w:eastAsia="Times New Roman" w:cs="Calibri"/>
          <w:sz w:val="24"/>
          <w:szCs w:val="24"/>
        </w:rPr>
        <w:t xml:space="preserve">Fish larvae tend to use </w:t>
      </w:r>
      <w:r w:rsidRPr="00033BEA">
        <w:rPr>
          <w:rFonts w:eastAsia="Times New Roman" w:cs="Calibri"/>
          <w:i/>
          <w:iCs/>
          <w:sz w:val="24"/>
          <w:szCs w:val="24"/>
        </w:rPr>
        <w:t xml:space="preserve">D. magna </w:t>
      </w:r>
      <w:r w:rsidRPr="00033BEA">
        <w:rPr>
          <w:rFonts w:eastAsia="Times New Roman" w:cs="Calibri"/>
          <w:sz w:val="24"/>
          <w:szCs w:val="24"/>
        </w:rPr>
        <w:t>more efficiently than artificial food</w:t>
      </w:r>
      <w:r w:rsidRPr="00033BEA">
        <w:rPr>
          <w:rFonts w:eastAsia="Times New Roman" w:cs="Calibri"/>
          <w:b/>
          <w:bCs/>
          <w:kern w:val="32"/>
          <w:sz w:val="24"/>
          <w:szCs w:val="24"/>
          <w:lang w:val="x-none" w:eastAsia="x-none"/>
        </w:rPr>
        <w:t xml:space="preserve"> </w:t>
      </w:r>
      <w:r w:rsidRPr="00033BEA">
        <w:rPr>
          <w:rFonts w:eastAsia="Times New Roman" w:cs="Calibri"/>
          <w:sz w:val="24"/>
          <w:szCs w:val="24"/>
        </w:rPr>
        <w:t xml:space="preserve">even if high mortality rate recorded. This artificial feed of soybean didn’t fulfill all the requirements and resulted in poor growth and survival in small fish larvae. Thus, considering the mouth size gap of the fish larvae during observation of the experiment, little </w:t>
      </w:r>
      <w:r w:rsidRPr="00033BEA">
        <w:rPr>
          <w:rFonts w:eastAsia="Times New Roman" w:cs="Calibri"/>
          <w:i/>
          <w:sz w:val="24"/>
          <w:szCs w:val="24"/>
        </w:rPr>
        <w:t>D. magna</w:t>
      </w:r>
      <w:r w:rsidRPr="00033BEA">
        <w:rPr>
          <w:rFonts w:eastAsia="Times New Roman" w:cs="Calibri"/>
          <w:sz w:val="24"/>
          <w:szCs w:val="24"/>
        </w:rPr>
        <w:t xml:space="preserve"> was a crucial live feed of African catfish larvae at an early stage. On the basis of the major findings of the research work reported here, the following recommendations are made. The mass culture of plankton may resolve the deficiency of live feed when catfish hatches in the laboratory. Smaller zooplankton (rotifer, </w:t>
      </w:r>
      <w:r w:rsidRPr="00033BEA">
        <w:rPr>
          <w:rFonts w:eastAsia="Times New Roman" w:cs="Calibri"/>
          <w:i/>
          <w:sz w:val="24"/>
          <w:szCs w:val="24"/>
        </w:rPr>
        <w:t>Moina</w:t>
      </w:r>
      <w:r w:rsidRPr="00033BEA">
        <w:rPr>
          <w:rFonts w:eastAsia="Times New Roman" w:cs="Calibri"/>
          <w:sz w:val="24"/>
          <w:szCs w:val="24"/>
        </w:rPr>
        <w:t xml:space="preserve"> sp.) culturing experiment may be mandatory to resolve the ambiguous question of the mouth gap and ingestion of food for catfish larvae. </w:t>
      </w:r>
      <w:r w:rsidRPr="00033BEA">
        <w:rPr>
          <w:rFonts w:eastAsia="Times New Roman" w:cs="Calibri"/>
          <w:bCs/>
          <w:sz w:val="24"/>
          <w:szCs w:val="24"/>
        </w:rPr>
        <w:t>To check the survival rate of catfish, watch a live feed with Artemia cyst. In addition to this according to this live feed, ingestion and the mouth size gap of the fish larvae should be observed.</w:t>
      </w:r>
    </w:p>
    <w:p w14:paraId="3C199322" w14:textId="77777777" w:rsidR="00501CFE" w:rsidRPr="00033BEA" w:rsidRDefault="00501CFE" w:rsidP="00501CFE">
      <w:pPr>
        <w:widowControl w:val="0"/>
        <w:autoSpaceDE w:val="0"/>
        <w:autoSpaceDN w:val="0"/>
        <w:rPr>
          <w:rFonts w:eastAsia="Times New Roman" w:cs="Calibri"/>
          <w:sz w:val="24"/>
          <w:szCs w:val="24"/>
        </w:rPr>
      </w:pPr>
    </w:p>
    <w:p w14:paraId="3C2E61F5" w14:textId="77777777" w:rsidR="00501CFE" w:rsidRPr="00033BEA" w:rsidRDefault="00501CFE" w:rsidP="00501CFE">
      <w:pPr>
        <w:widowControl w:val="0"/>
        <w:autoSpaceDE w:val="0"/>
        <w:autoSpaceDN w:val="0"/>
        <w:spacing w:after="240"/>
        <w:rPr>
          <w:rFonts w:eastAsia="Times New Roman" w:cs="Calibri"/>
          <w:b/>
          <w:bCs/>
          <w:sz w:val="24"/>
          <w:szCs w:val="24"/>
        </w:rPr>
      </w:pPr>
      <w:r w:rsidRPr="00033BEA">
        <w:rPr>
          <w:rFonts w:eastAsia="Times New Roman" w:cs="Calibri"/>
          <w:b/>
          <w:bCs/>
          <w:sz w:val="24"/>
          <w:szCs w:val="24"/>
        </w:rPr>
        <w:t>REFERENCES</w:t>
      </w:r>
    </w:p>
    <w:p w14:paraId="5A70CF57" w14:textId="77777777" w:rsidR="00501CFE" w:rsidRPr="00033BEA" w:rsidRDefault="00501CFE" w:rsidP="00501CFE">
      <w:pPr>
        <w:widowControl w:val="0"/>
        <w:autoSpaceDE w:val="0"/>
        <w:autoSpaceDN w:val="0"/>
        <w:ind w:left="540" w:hanging="540"/>
        <w:rPr>
          <w:rFonts w:eastAsia="Times New Roman" w:cs="Calibri"/>
          <w:i/>
          <w:iCs/>
          <w:sz w:val="24"/>
          <w:szCs w:val="24"/>
        </w:rPr>
      </w:pPr>
      <w:r w:rsidRPr="00033BEA">
        <w:rPr>
          <w:rFonts w:eastAsia="Times New Roman" w:cs="Calibri"/>
          <w:sz w:val="24"/>
          <w:szCs w:val="24"/>
        </w:rPr>
        <w:t xml:space="preserve">Afolabi O, Adewoye O S and Fawole O (2013). </w:t>
      </w:r>
      <w:r w:rsidRPr="00033BEA">
        <w:rPr>
          <w:rFonts w:eastAsia="Times New Roman" w:cs="Calibri"/>
          <w:bCs/>
          <w:sz w:val="24"/>
          <w:szCs w:val="24"/>
        </w:rPr>
        <w:t xml:space="preserve">Growth performance and survival rate of </w:t>
      </w:r>
      <w:r w:rsidRPr="00033BEA">
        <w:rPr>
          <w:rFonts w:eastAsia="Times New Roman" w:cs="Calibri"/>
          <w:bCs/>
          <w:i/>
          <w:iCs/>
          <w:sz w:val="24"/>
          <w:szCs w:val="24"/>
        </w:rPr>
        <w:t xml:space="preserve">Clarias gariepinus </w:t>
      </w:r>
      <w:r w:rsidRPr="00033BEA">
        <w:rPr>
          <w:rFonts w:eastAsia="Times New Roman" w:cs="Calibri"/>
          <w:bCs/>
          <w:sz w:val="24"/>
          <w:szCs w:val="24"/>
        </w:rPr>
        <w:t>fed</w:t>
      </w:r>
      <w:r w:rsidRPr="00033BEA">
        <w:rPr>
          <w:rFonts w:eastAsia="Times New Roman" w:cs="Calibri"/>
          <w:sz w:val="24"/>
          <w:szCs w:val="24"/>
        </w:rPr>
        <w:t xml:space="preserve"> </w:t>
      </w:r>
      <w:r w:rsidRPr="00033BEA">
        <w:rPr>
          <w:rFonts w:eastAsia="Times New Roman" w:cs="Calibri"/>
          <w:bCs/>
          <w:i/>
          <w:iCs/>
          <w:sz w:val="24"/>
          <w:szCs w:val="24"/>
        </w:rPr>
        <w:t xml:space="preserve">Lactobacillus acidophilus </w:t>
      </w:r>
      <w:r w:rsidRPr="00033BEA">
        <w:rPr>
          <w:rFonts w:eastAsia="Times New Roman" w:cs="Calibri"/>
          <w:bCs/>
          <w:sz w:val="24"/>
          <w:szCs w:val="24"/>
        </w:rPr>
        <w:t xml:space="preserve">supplemented diets. </w:t>
      </w:r>
      <w:r w:rsidRPr="00033BEA">
        <w:rPr>
          <w:rFonts w:eastAsia="Times New Roman" w:cs="Calibri"/>
          <w:i/>
          <w:iCs/>
          <w:sz w:val="24"/>
          <w:szCs w:val="24"/>
        </w:rPr>
        <w:t xml:space="preserve">IOSR-JAVS: </w:t>
      </w:r>
      <w:r w:rsidRPr="00033BEA">
        <w:rPr>
          <w:rFonts w:eastAsia="Times New Roman" w:cs="Calibri"/>
          <w:b/>
          <w:i/>
          <w:iCs/>
          <w:sz w:val="24"/>
          <w:szCs w:val="24"/>
        </w:rPr>
        <w:t>3</w:t>
      </w:r>
      <w:r w:rsidRPr="00033BEA">
        <w:rPr>
          <w:rFonts w:eastAsia="Times New Roman" w:cs="Calibri"/>
          <w:i/>
          <w:iCs/>
          <w:sz w:val="24"/>
          <w:szCs w:val="24"/>
        </w:rPr>
        <w:t>: 45-50.</w:t>
      </w:r>
    </w:p>
    <w:p w14:paraId="34CF268E"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 xml:space="preserve">Anderson R A (2005). </w:t>
      </w:r>
      <w:r w:rsidRPr="00033BEA">
        <w:rPr>
          <w:rFonts w:eastAsia="Times New Roman" w:cs="Calibri"/>
          <w:i/>
          <w:iCs/>
          <w:sz w:val="24"/>
          <w:szCs w:val="24"/>
        </w:rPr>
        <w:t xml:space="preserve">Algal culturing techniques. </w:t>
      </w:r>
      <w:r w:rsidRPr="00033BEA">
        <w:rPr>
          <w:rFonts w:eastAsia="Times New Roman" w:cs="Calibri"/>
          <w:sz w:val="24"/>
          <w:szCs w:val="24"/>
        </w:rPr>
        <w:t>Elsevier Academic Press, Burlington, Massachusetts, pp. 1- 578.</w:t>
      </w:r>
    </w:p>
    <w:p w14:paraId="0A06E949" w14:textId="77777777" w:rsidR="00501CFE" w:rsidRPr="00033BEA" w:rsidRDefault="00501CFE" w:rsidP="00501CFE">
      <w:pPr>
        <w:widowControl w:val="0"/>
        <w:autoSpaceDE w:val="0"/>
        <w:autoSpaceDN w:val="0"/>
        <w:ind w:left="540" w:hanging="540"/>
        <w:rPr>
          <w:rFonts w:eastAsia="Times New Roman" w:cs="Calibri"/>
          <w:i/>
          <w:sz w:val="24"/>
          <w:szCs w:val="24"/>
        </w:rPr>
      </w:pPr>
      <w:r w:rsidRPr="00033BEA">
        <w:rPr>
          <w:rFonts w:eastAsia="Times New Roman" w:cs="Calibri"/>
          <w:sz w:val="24"/>
          <w:szCs w:val="24"/>
        </w:rPr>
        <w:t xml:space="preserve">Awaiss A and Kestemont P (1998). Feeding sequences (rotifer and dry diet), survival, growth and </w:t>
      </w:r>
      <w:r w:rsidRPr="00033BEA">
        <w:rPr>
          <w:rFonts w:eastAsia="Times New Roman" w:cs="Calibri"/>
          <w:sz w:val="24"/>
          <w:szCs w:val="24"/>
        </w:rPr>
        <w:t xml:space="preserve">biochemical composition of African catfish, </w:t>
      </w:r>
      <w:r w:rsidRPr="00033BEA">
        <w:rPr>
          <w:rFonts w:eastAsia="Times New Roman" w:cs="Calibri"/>
          <w:i/>
          <w:iCs/>
          <w:sz w:val="24"/>
          <w:szCs w:val="24"/>
        </w:rPr>
        <w:t>Clarias gariepinus</w:t>
      </w:r>
      <w:r w:rsidRPr="00033BEA">
        <w:rPr>
          <w:rFonts w:eastAsia="Times New Roman" w:cs="Calibri"/>
          <w:sz w:val="24"/>
          <w:szCs w:val="24"/>
        </w:rPr>
        <w:t xml:space="preserve"> Burchell (Pisces: Clariidae), larvae. </w:t>
      </w:r>
      <w:r w:rsidRPr="00033BEA">
        <w:rPr>
          <w:rFonts w:eastAsia="Times New Roman" w:cs="Calibri"/>
          <w:i/>
          <w:sz w:val="24"/>
          <w:szCs w:val="24"/>
        </w:rPr>
        <w:t>Aquacult. Res</w:t>
      </w:r>
      <w:r w:rsidRPr="00033BEA">
        <w:rPr>
          <w:rFonts w:eastAsia="Times New Roman" w:cs="Calibri"/>
          <w:sz w:val="24"/>
          <w:szCs w:val="24"/>
        </w:rPr>
        <w:t xml:space="preserve">. </w:t>
      </w:r>
      <w:r w:rsidRPr="00033BEA">
        <w:rPr>
          <w:rFonts w:eastAsia="Times New Roman" w:cs="Calibri"/>
          <w:b/>
          <w:i/>
          <w:sz w:val="24"/>
          <w:szCs w:val="24"/>
        </w:rPr>
        <w:t>29</w:t>
      </w:r>
      <w:r w:rsidRPr="00033BEA">
        <w:rPr>
          <w:rFonts w:eastAsia="Times New Roman" w:cs="Calibri"/>
          <w:i/>
          <w:sz w:val="24"/>
          <w:szCs w:val="24"/>
        </w:rPr>
        <w:t>: 731–741.</w:t>
      </w:r>
    </w:p>
    <w:p w14:paraId="463044E0"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 xml:space="preserve">Carlsson A S, Beilen J B, Moller R and Clayton D (2007). Micro-algae and macro-algae: utility for industrials applications. In: (ed) </w:t>
      </w:r>
      <w:r w:rsidRPr="00033BEA">
        <w:rPr>
          <w:rFonts w:eastAsia="Times New Roman" w:cs="Calibri"/>
          <w:i/>
          <w:sz w:val="24"/>
          <w:szCs w:val="24"/>
        </w:rPr>
        <w:t>Dianna Bowles</w:t>
      </w:r>
      <w:r w:rsidRPr="00033BEA">
        <w:rPr>
          <w:rFonts w:eastAsia="Times New Roman" w:cs="Calibri"/>
          <w:sz w:val="24"/>
          <w:szCs w:val="24"/>
        </w:rPr>
        <w:t>, Pp. 9-33.</w:t>
      </w:r>
    </w:p>
    <w:p w14:paraId="44CF176C"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 xml:space="preserve">Bhatnagar A and Devi P (2013). </w:t>
      </w:r>
      <w:r w:rsidRPr="00033BEA">
        <w:rPr>
          <w:rFonts w:eastAsia="Times New Roman" w:cs="Calibri"/>
          <w:bCs/>
          <w:sz w:val="24"/>
          <w:szCs w:val="24"/>
        </w:rPr>
        <w:t xml:space="preserve">Water quality guidelines for the management of pond fish culture. </w:t>
      </w:r>
      <w:r w:rsidRPr="00033BEA">
        <w:rPr>
          <w:rFonts w:eastAsia="Times New Roman" w:cs="Calibri"/>
          <w:bCs/>
          <w:i/>
          <w:sz w:val="24"/>
          <w:szCs w:val="24"/>
        </w:rPr>
        <w:t>I.J.Env. Sci</w:t>
      </w:r>
      <w:r w:rsidRPr="00033BEA">
        <w:rPr>
          <w:rFonts w:eastAsia="Times New Roman" w:cs="Calibri"/>
          <w:bCs/>
          <w:sz w:val="24"/>
          <w:szCs w:val="24"/>
        </w:rPr>
        <w:t xml:space="preserve">. </w:t>
      </w:r>
      <w:r w:rsidRPr="00033BEA">
        <w:rPr>
          <w:rFonts w:eastAsia="Times New Roman" w:cs="Calibri"/>
          <w:b/>
          <w:bCs/>
          <w:i/>
          <w:sz w:val="24"/>
          <w:szCs w:val="24"/>
        </w:rPr>
        <w:t>3</w:t>
      </w:r>
      <w:r w:rsidRPr="00033BEA">
        <w:rPr>
          <w:rFonts w:eastAsia="Times New Roman" w:cs="Calibri"/>
          <w:bCs/>
          <w:i/>
          <w:sz w:val="24"/>
          <w:szCs w:val="24"/>
        </w:rPr>
        <w:t>.</w:t>
      </w:r>
    </w:p>
    <w:p w14:paraId="57C2601A"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Bhatnagar A, Jana S N, Garg S K, Patra B C, Singh G and Barman U K</w:t>
      </w:r>
      <w:r w:rsidRPr="00033BEA">
        <w:rPr>
          <w:rFonts w:eastAsia="Times New Roman" w:cs="Calibri"/>
          <w:b/>
          <w:bCs/>
          <w:sz w:val="24"/>
          <w:szCs w:val="24"/>
        </w:rPr>
        <w:t xml:space="preserve"> </w:t>
      </w:r>
      <w:r w:rsidRPr="00033BEA">
        <w:rPr>
          <w:rFonts w:eastAsia="Times New Roman" w:cs="Calibri"/>
          <w:sz w:val="24"/>
          <w:szCs w:val="24"/>
        </w:rPr>
        <w:t>(2004</w:t>
      </w:r>
      <w:r w:rsidRPr="00033BEA">
        <w:rPr>
          <w:rFonts w:eastAsia="Times New Roman" w:cs="Calibri"/>
          <w:i/>
          <w:sz w:val="24"/>
          <w:szCs w:val="24"/>
        </w:rPr>
        <w:t>), Water quality management in aquaculture, In: Course Manual of</w:t>
      </w:r>
      <w:r w:rsidRPr="00033BEA">
        <w:rPr>
          <w:rFonts w:eastAsia="Times New Roman" w:cs="Calibri"/>
          <w:b/>
          <w:bCs/>
          <w:i/>
          <w:sz w:val="24"/>
          <w:szCs w:val="24"/>
        </w:rPr>
        <w:t xml:space="preserve"> </w:t>
      </w:r>
      <w:r w:rsidRPr="00033BEA">
        <w:rPr>
          <w:rFonts w:eastAsia="Times New Roman" w:cs="Calibri"/>
          <w:i/>
          <w:sz w:val="24"/>
          <w:szCs w:val="24"/>
        </w:rPr>
        <w:t>summerschool on development of sustainable aquaculture technology in fresh and</w:t>
      </w:r>
      <w:r w:rsidRPr="00033BEA">
        <w:rPr>
          <w:rFonts w:eastAsia="Times New Roman" w:cs="Calibri"/>
          <w:b/>
          <w:bCs/>
          <w:i/>
          <w:sz w:val="24"/>
          <w:szCs w:val="24"/>
        </w:rPr>
        <w:t xml:space="preserve"> </w:t>
      </w:r>
      <w:r w:rsidRPr="00033BEA">
        <w:rPr>
          <w:rFonts w:eastAsia="Times New Roman" w:cs="Calibri"/>
          <w:i/>
          <w:sz w:val="24"/>
          <w:szCs w:val="24"/>
        </w:rPr>
        <w:t>saline waters</w:t>
      </w:r>
      <w:r w:rsidRPr="00033BEA">
        <w:rPr>
          <w:rFonts w:eastAsia="Times New Roman" w:cs="Calibri"/>
          <w:sz w:val="24"/>
          <w:szCs w:val="24"/>
        </w:rPr>
        <w:t>. CCS Haryana Agricultural, Hisar (India), pp 203- 210.</w:t>
      </w:r>
    </w:p>
    <w:p w14:paraId="56EDA56D"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 xml:space="preserve">Castillo M N (1981). The culture of freshwater Cladoceran, </w:t>
      </w:r>
      <w:r w:rsidRPr="00033BEA">
        <w:rPr>
          <w:rFonts w:eastAsia="Times New Roman" w:cs="Calibri"/>
          <w:i/>
          <w:sz w:val="24"/>
          <w:szCs w:val="24"/>
        </w:rPr>
        <w:t>Daphnia pulex</w:t>
      </w:r>
      <w:r w:rsidRPr="00033BEA">
        <w:rPr>
          <w:rFonts w:eastAsia="Times New Roman" w:cs="Calibri"/>
          <w:sz w:val="24"/>
          <w:szCs w:val="24"/>
        </w:rPr>
        <w:t xml:space="preserve"> for utilizing </w:t>
      </w:r>
      <w:r w:rsidRPr="00033BEA">
        <w:rPr>
          <w:rFonts w:eastAsia="Times New Roman" w:cs="Calibri"/>
          <w:i/>
          <w:sz w:val="24"/>
          <w:szCs w:val="24"/>
        </w:rPr>
        <w:t>Scenedesmus oblquus</w:t>
      </w:r>
      <w:r w:rsidRPr="00033BEA">
        <w:rPr>
          <w:rFonts w:eastAsia="Times New Roman" w:cs="Calibri"/>
          <w:sz w:val="24"/>
          <w:szCs w:val="24"/>
        </w:rPr>
        <w:t xml:space="preserve"> grown in dairy waste medium. Thesis.</w:t>
      </w:r>
      <w:r w:rsidRPr="00033BEA">
        <w:rPr>
          <w:rFonts w:eastAsia="Times New Roman" w:cs="Calibri"/>
          <w:i/>
          <w:sz w:val="24"/>
          <w:szCs w:val="24"/>
        </w:rPr>
        <w:t xml:space="preserve"> </w:t>
      </w:r>
      <w:r w:rsidRPr="00033BEA">
        <w:rPr>
          <w:rFonts w:eastAsia="Times New Roman" w:cs="Calibri"/>
          <w:sz w:val="24"/>
          <w:szCs w:val="24"/>
        </w:rPr>
        <w:t xml:space="preserve">University of British Columbia, pp: 147. </w:t>
      </w:r>
    </w:p>
    <w:p w14:paraId="75F03A95"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bCs/>
          <w:sz w:val="24"/>
          <w:szCs w:val="24"/>
        </w:rPr>
        <w:t xml:space="preserve">Das P, Mandal S, Bhagabati S, Akhtar M and Singh K, (2012).  </w:t>
      </w:r>
      <w:r w:rsidRPr="00033BEA">
        <w:rPr>
          <w:rFonts w:eastAsia="Times New Roman" w:cs="Calibri"/>
          <w:sz w:val="24"/>
          <w:szCs w:val="24"/>
        </w:rPr>
        <w:t xml:space="preserve">Important live food organisms and their role in aquaculture. </w:t>
      </w:r>
      <w:r w:rsidRPr="00033BEA">
        <w:rPr>
          <w:rFonts w:eastAsia="Times New Roman" w:cs="Calibri"/>
          <w:i/>
          <w:sz w:val="24"/>
          <w:szCs w:val="24"/>
        </w:rPr>
        <w:t>Front. Mar. Sci. Pp. 69-86</w:t>
      </w:r>
      <w:r w:rsidRPr="00033BEA">
        <w:rPr>
          <w:rFonts w:eastAsia="Times New Roman" w:cs="Calibri"/>
          <w:sz w:val="24"/>
          <w:szCs w:val="24"/>
        </w:rPr>
        <w:t>.</w:t>
      </w:r>
    </w:p>
    <w:p w14:paraId="1C046D3A"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Evjemo J O, Reitan K I and Olsen Y (2003). Copepods as live food organisms in the larval rearing of halibut larvae (</w:t>
      </w:r>
      <w:r w:rsidRPr="00033BEA">
        <w:rPr>
          <w:rFonts w:eastAsia="Times New Roman" w:cs="Calibri"/>
          <w:i/>
          <w:sz w:val="24"/>
          <w:szCs w:val="24"/>
        </w:rPr>
        <w:t>Hippoglossus hypoglossals</w:t>
      </w:r>
      <w:r w:rsidRPr="00033BEA">
        <w:rPr>
          <w:rFonts w:eastAsia="Times New Roman" w:cs="Calibri"/>
          <w:sz w:val="24"/>
          <w:szCs w:val="24"/>
        </w:rPr>
        <w:t xml:space="preserve"> L.) with special emphasis on the nutritional value. </w:t>
      </w:r>
      <w:r w:rsidRPr="00033BEA">
        <w:rPr>
          <w:rFonts w:eastAsia="Times New Roman" w:cs="Calibri"/>
          <w:i/>
          <w:sz w:val="24"/>
          <w:szCs w:val="24"/>
        </w:rPr>
        <w:t>Aquaculture, 227(1-4): 191-210.</w:t>
      </w:r>
      <w:r w:rsidRPr="00033BEA">
        <w:rPr>
          <w:rFonts w:eastAsia="Times New Roman" w:cs="Calibri"/>
          <w:sz w:val="24"/>
          <w:szCs w:val="24"/>
        </w:rPr>
        <w:t xml:space="preserve"> </w:t>
      </w:r>
    </w:p>
    <w:p w14:paraId="70DF10BA" w14:textId="77777777" w:rsidR="00501CFE" w:rsidRPr="00033BEA" w:rsidRDefault="00501CFE" w:rsidP="00501CFE">
      <w:pPr>
        <w:widowControl w:val="0"/>
        <w:autoSpaceDE w:val="0"/>
        <w:autoSpaceDN w:val="0"/>
        <w:ind w:left="540" w:hanging="540"/>
        <w:rPr>
          <w:rFonts w:eastAsia="Times New Roman" w:cs="Calibri"/>
          <w:b/>
          <w:bCs/>
          <w:sz w:val="24"/>
          <w:szCs w:val="24"/>
        </w:rPr>
      </w:pPr>
      <w:r w:rsidRPr="00033BEA">
        <w:rPr>
          <w:rFonts w:eastAsia="Times New Roman" w:cs="Calibri"/>
          <w:sz w:val="24"/>
          <w:szCs w:val="24"/>
        </w:rPr>
        <w:t xml:space="preserve">FAO (1996). Manual on the production and use of live food for aquaculture. </w:t>
      </w:r>
      <w:r w:rsidRPr="00033BEA">
        <w:rPr>
          <w:rFonts w:eastAsia="Times New Roman" w:cs="Calibri"/>
          <w:i/>
          <w:sz w:val="24"/>
          <w:szCs w:val="24"/>
        </w:rPr>
        <w:t xml:space="preserve">Lavens, P; Sorgeloos, P. (eds.), </w:t>
      </w:r>
      <w:r w:rsidRPr="00033BEA">
        <w:rPr>
          <w:rFonts w:eastAsia="Times New Roman" w:cs="Calibri"/>
          <w:i/>
          <w:iCs/>
          <w:sz w:val="24"/>
          <w:szCs w:val="24"/>
        </w:rPr>
        <w:t xml:space="preserve">FAO Fisheries Technical Paper. </w:t>
      </w:r>
      <w:r w:rsidRPr="00033BEA">
        <w:rPr>
          <w:rFonts w:eastAsia="Times New Roman" w:cs="Calibri"/>
          <w:sz w:val="24"/>
          <w:szCs w:val="24"/>
        </w:rPr>
        <w:t>No. 361. Rome, Pp. 295.</w:t>
      </w:r>
    </w:p>
    <w:p w14:paraId="3891946D" w14:textId="77777777" w:rsidR="00501CFE" w:rsidRPr="00033BEA" w:rsidRDefault="00501CFE" w:rsidP="00501CFE">
      <w:pPr>
        <w:widowControl w:val="0"/>
        <w:autoSpaceDE w:val="0"/>
        <w:autoSpaceDN w:val="0"/>
        <w:ind w:left="540" w:hanging="540"/>
        <w:rPr>
          <w:rFonts w:eastAsia="Times New Roman" w:cs="Calibri"/>
          <w:bCs/>
          <w:kern w:val="36"/>
          <w:sz w:val="24"/>
          <w:szCs w:val="24"/>
        </w:rPr>
      </w:pPr>
      <w:r w:rsidRPr="00033BEA">
        <w:rPr>
          <w:rFonts w:eastAsia="Times New Roman" w:cs="Calibri"/>
          <w:bCs/>
          <w:kern w:val="36"/>
          <w:sz w:val="24"/>
          <w:szCs w:val="24"/>
        </w:rPr>
        <w:t>FAO (2018). Food and Agriculture Organization of the United Nations.  Rome, Italy.</w:t>
      </w:r>
    </w:p>
    <w:p w14:paraId="43F7DFCE" w14:textId="77777777" w:rsidR="00501CFE" w:rsidRPr="00033BEA" w:rsidRDefault="00501CFE" w:rsidP="00501CFE">
      <w:pPr>
        <w:widowControl w:val="0"/>
        <w:autoSpaceDE w:val="0"/>
        <w:autoSpaceDN w:val="0"/>
        <w:ind w:left="540" w:hanging="540"/>
        <w:rPr>
          <w:rFonts w:eastAsia="Times New Roman" w:cs="Calibri"/>
          <w:b/>
          <w:bCs/>
          <w:sz w:val="24"/>
          <w:szCs w:val="24"/>
        </w:rPr>
      </w:pPr>
      <w:r w:rsidRPr="00033BEA">
        <w:rPr>
          <w:rFonts w:eastAsia="Times New Roman" w:cs="Calibri"/>
          <w:sz w:val="24"/>
          <w:szCs w:val="24"/>
        </w:rPr>
        <w:t xml:space="preserve">FAO (2020). North African catfish feeding. Fisheries Department, </w:t>
      </w:r>
      <w:hyperlink r:id="rId15" w:history="1">
        <w:r w:rsidRPr="00033BEA">
          <w:rPr>
            <w:rFonts w:cs="Calibri"/>
            <w:sz w:val="24"/>
            <w:szCs w:val="24"/>
            <w:u w:val="single"/>
          </w:rPr>
          <w:t>http://www.fao.org/fishery</w:t>
        </w:r>
      </w:hyperlink>
      <w:r w:rsidRPr="00033BEA">
        <w:rPr>
          <w:rFonts w:eastAsia="Times New Roman" w:cs="Calibri"/>
          <w:sz w:val="24"/>
          <w:szCs w:val="24"/>
        </w:rPr>
        <w:t xml:space="preserve">, access 24/1/2019 </w:t>
      </w:r>
    </w:p>
    <w:p w14:paraId="1751C33F" w14:textId="77777777" w:rsidR="00501CFE" w:rsidRPr="00033BEA" w:rsidRDefault="00501CFE" w:rsidP="00501CFE">
      <w:pPr>
        <w:widowControl w:val="0"/>
        <w:autoSpaceDE w:val="0"/>
        <w:autoSpaceDN w:val="0"/>
        <w:ind w:left="540" w:hanging="540"/>
        <w:rPr>
          <w:rFonts w:eastAsia="Times New Roman" w:cs="Calibri"/>
          <w:b/>
          <w:bCs/>
          <w:iCs/>
          <w:sz w:val="24"/>
          <w:szCs w:val="24"/>
        </w:rPr>
      </w:pPr>
      <w:r w:rsidRPr="00033BEA">
        <w:rPr>
          <w:rFonts w:eastAsia="Times New Roman" w:cs="Calibri"/>
          <w:iCs/>
          <w:sz w:val="24"/>
          <w:szCs w:val="24"/>
        </w:rPr>
        <w:t>Faruque M M, Ahmed K and Quddus M M A (2010). Use of Live Food and Artificial</w:t>
      </w:r>
      <w:r w:rsidRPr="00033BEA">
        <w:rPr>
          <w:rFonts w:eastAsia="Times New Roman" w:cs="Calibri"/>
          <w:bCs/>
          <w:iCs/>
          <w:sz w:val="24"/>
          <w:szCs w:val="24"/>
        </w:rPr>
        <w:t xml:space="preserve"> Diet Supply for the Growth and Survival of African Catfish (Clarias gariepinus) Larvae. </w:t>
      </w:r>
      <w:r w:rsidRPr="00033BEA">
        <w:rPr>
          <w:rFonts w:eastAsia="Times New Roman" w:cs="Calibri"/>
          <w:iCs/>
          <w:sz w:val="24"/>
          <w:szCs w:val="24"/>
        </w:rPr>
        <w:t xml:space="preserve">World Journal of Zoology 5 (2): 82-89. </w:t>
      </w:r>
    </w:p>
    <w:p w14:paraId="36BC0075" w14:textId="77777777" w:rsidR="00501CFE" w:rsidRPr="00033BEA" w:rsidRDefault="00501CFE" w:rsidP="00501CFE">
      <w:pPr>
        <w:widowControl w:val="0"/>
        <w:autoSpaceDE w:val="0"/>
        <w:autoSpaceDN w:val="0"/>
        <w:ind w:left="540" w:hanging="540"/>
        <w:rPr>
          <w:rFonts w:eastAsia="Times New Roman" w:cs="Calibri"/>
          <w:b/>
          <w:bCs/>
          <w:sz w:val="24"/>
          <w:szCs w:val="24"/>
        </w:rPr>
      </w:pPr>
      <w:r w:rsidRPr="00033BEA">
        <w:rPr>
          <w:rFonts w:eastAsia="Times New Roman" w:cs="Calibri"/>
          <w:bCs/>
          <w:sz w:val="24"/>
          <w:szCs w:val="24"/>
        </w:rPr>
        <w:t>Fatemeh L and Mohsen D (2016). Effects of Environmental Factors on the Growth, Optical Density and Biomass of the</w:t>
      </w:r>
      <w:r w:rsidRPr="00033BEA">
        <w:rPr>
          <w:rFonts w:eastAsia="Times New Roman" w:cs="Calibri"/>
          <w:sz w:val="24"/>
          <w:szCs w:val="24"/>
        </w:rPr>
        <w:t xml:space="preserve"> </w:t>
      </w:r>
      <w:r w:rsidRPr="00033BEA">
        <w:rPr>
          <w:rFonts w:eastAsia="Times New Roman" w:cs="Calibri"/>
          <w:bCs/>
          <w:sz w:val="24"/>
          <w:szCs w:val="24"/>
        </w:rPr>
        <w:t xml:space="preserve">Green Algae </w:t>
      </w:r>
      <w:r w:rsidRPr="00033BEA">
        <w:rPr>
          <w:rFonts w:eastAsia="Times New Roman" w:cs="Calibri"/>
          <w:bCs/>
          <w:i/>
          <w:iCs/>
          <w:sz w:val="24"/>
          <w:szCs w:val="24"/>
        </w:rPr>
        <w:t xml:space="preserve">Chlorella Vulgaris </w:t>
      </w:r>
      <w:r w:rsidRPr="00033BEA">
        <w:rPr>
          <w:rFonts w:eastAsia="Times New Roman" w:cs="Calibri"/>
          <w:bCs/>
          <w:sz w:val="24"/>
          <w:szCs w:val="24"/>
        </w:rPr>
        <w:t xml:space="preserve">in Outdoor Conditions. </w:t>
      </w:r>
      <w:r w:rsidRPr="00033BEA">
        <w:rPr>
          <w:rFonts w:eastAsia="Times New Roman" w:cs="Calibri"/>
          <w:i/>
          <w:sz w:val="24"/>
          <w:szCs w:val="24"/>
        </w:rPr>
        <w:t>J. Appl</w:t>
      </w:r>
      <w:r w:rsidRPr="00033BEA">
        <w:rPr>
          <w:rFonts w:eastAsia="Times New Roman" w:cs="Calibri"/>
          <w:bCs/>
          <w:i/>
          <w:sz w:val="24"/>
          <w:szCs w:val="24"/>
        </w:rPr>
        <w:t xml:space="preserve"> </w:t>
      </w:r>
      <w:r w:rsidRPr="00033BEA">
        <w:rPr>
          <w:rFonts w:eastAsia="Times New Roman" w:cs="Calibri"/>
          <w:i/>
          <w:sz w:val="24"/>
          <w:szCs w:val="24"/>
        </w:rPr>
        <w:t>Sci. Environ. Manage</w:t>
      </w:r>
      <w:r w:rsidRPr="00033BEA">
        <w:rPr>
          <w:rFonts w:eastAsia="Times New Roman" w:cs="Calibri"/>
          <w:sz w:val="24"/>
          <w:szCs w:val="24"/>
        </w:rPr>
        <w:t xml:space="preserve">., </w:t>
      </w:r>
      <w:r w:rsidRPr="00033BEA">
        <w:rPr>
          <w:rFonts w:eastAsia="Times New Roman" w:cs="Calibri"/>
          <w:b/>
          <w:i/>
          <w:sz w:val="24"/>
          <w:szCs w:val="24"/>
        </w:rPr>
        <w:t>20</w:t>
      </w:r>
      <w:r w:rsidRPr="00033BEA">
        <w:rPr>
          <w:rFonts w:eastAsia="Times New Roman" w:cs="Calibri"/>
          <w:i/>
          <w:sz w:val="24"/>
          <w:szCs w:val="24"/>
        </w:rPr>
        <w:t>:133-139.</w:t>
      </w:r>
    </w:p>
    <w:p w14:paraId="656A67A9" w14:textId="77777777" w:rsidR="00501CFE" w:rsidRPr="00033BEA" w:rsidRDefault="00501CFE" w:rsidP="00501CFE">
      <w:pPr>
        <w:widowControl w:val="0"/>
        <w:autoSpaceDE w:val="0"/>
        <w:autoSpaceDN w:val="0"/>
        <w:ind w:left="540" w:hanging="540"/>
        <w:rPr>
          <w:rFonts w:eastAsia="Times New Roman" w:cs="Calibri"/>
          <w:b/>
          <w:bCs/>
          <w:sz w:val="24"/>
          <w:szCs w:val="24"/>
        </w:rPr>
      </w:pPr>
      <w:r w:rsidRPr="00033BEA">
        <w:rPr>
          <w:rFonts w:cs="Calibri"/>
          <w:sz w:val="24"/>
          <w:szCs w:val="24"/>
        </w:rPr>
        <w:t xml:space="preserve">Friedl G, Teodoru C and Wehrli B (2004). Is the Iron Gate I reservoir on the Danube River a sink for dissolved silica?. </w:t>
      </w:r>
      <w:r w:rsidRPr="00033BEA">
        <w:rPr>
          <w:rFonts w:cs="Calibri"/>
          <w:i/>
          <w:iCs/>
          <w:sz w:val="24"/>
          <w:szCs w:val="24"/>
        </w:rPr>
        <w:t>Biogeochemistry</w:t>
      </w:r>
      <w:r w:rsidRPr="00033BEA">
        <w:rPr>
          <w:rFonts w:cs="Calibri"/>
          <w:iCs/>
          <w:sz w:val="24"/>
          <w:szCs w:val="24"/>
        </w:rPr>
        <w:t xml:space="preserve">, </w:t>
      </w:r>
      <w:r w:rsidRPr="00033BEA">
        <w:rPr>
          <w:rFonts w:cs="Calibri"/>
          <w:b/>
          <w:i/>
          <w:sz w:val="24"/>
          <w:szCs w:val="24"/>
        </w:rPr>
        <w:t>68</w:t>
      </w:r>
      <w:r w:rsidRPr="00033BEA">
        <w:rPr>
          <w:rFonts w:cs="Calibri"/>
          <w:i/>
          <w:sz w:val="24"/>
          <w:szCs w:val="24"/>
        </w:rPr>
        <w:t>: 21-32.</w:t>
      </w:r>
    </w:p>
    <w:p w14:paraId="3E17B275" w14:textId="77777777" w:rsidR="00501CFE" w:rsidRPr="00033BEA" w:rsidRDefault="00501CFE" w:rsidP="00501CFE">
      <w:pPr>
        <w:widowControl w:val="0"/>
        <w:autoSpaceDE w:val="0"/>
        <w:autoSpaceDN w:val="0"/>
        <w:ind w:left="540" w:hanging="540"/>
        <w:rPr>
          <w:rFonts w:cs="Calibri"/>
          <w:sz w:val="24"/>
          <w:szCs w:val="24"/>
        </w:rPr>
      </w:pPr>
      <w:r w:rsidRPr="00033BEA">
        <w:rPr>
          <w:rFonts w:cs="Calibri"/>
          <w:sz w:val="24"/>
          <w:szCs w:val="24"/>
        </w:rPr>
        <w:t xml:space="preserve">Geneviève M C and James P N (2008). Water quality for ecosystem and human health. </w:t>
      </w:r>
      <w:r w:rsidRPr="00033BEA">
        <w:rPr>
          <w:rFonts w:eastAsia="TrebuchetMS" w:cs="Calibri"/>
          <w:sz w:val="24"/>
          <w:szCs w:val="24"/>
        </w:rPr>
        <w:t>In:</w:t>
      </w:r>
      <w:r w:rsidRPr="00033BEA">
        <w:rPr>
          <w:rFonts w:eastAsia="TrebuchetMS" w:cs="Calibri"/>
          <w:i/>
          <w:sz w:val="24"/>
          <w:szCs w:val="24"/>
        </w:rPr>
        <w:t xml:space="preserve"> International Institute of Polish Academy of Sciences, European Regional Centre for Eco hydrology under the auspices of UNESCO and University of Lodz</w:t>
      </w:r>
      <w:r w:rsidRPr="00033BEA">
        <w:rPr>
          <w:rFonts w:cs="Calibri"/>
          <w:sz w:val="24"/>
          <w:szCs w:val="24"/>
        </w:rPr>
        <w:t>, pp. 1-154</w:t>
      </w:r>
      <w:r w:rsidRPr="00033BEA">
        <w:rPr>
          <w:rFonts w:cs="Calibri"/>
          <w:i/>
          <w:sz w:val="24"/>
          <w:szCs w:val="24"/>
        </w:rPr>
        <w:t xml:space="preserve">, </w:t>
      </w:r>
      <w:r w:rsidRPr="00033BEA">
        <w:rPr>
          <w:rFonts w:eastAsia="TrebuchetMS" w:cs="Calibri"/>
          <w:i/>
          <w:sz w:val="24"/>
          <w:szCs w:val="24"/>
        </w:rPr>
        <w:t>(</w:t>
      </w:r>
      <w:r w:rsidRPr="00033BEA">
        <w:rPr>
          <w:rFonts w:cs="Calibri"/>
          <w:i/>
          <w:sz w:val="24"/>
          <w:szCs w:val="24"/>
        </w:rPr>
        <w:t>Richard, R. and Sabrina, B. Eds).</w:t>
      </w:r>
      <w:r w:rsidRPr="00033BEA">
        <w:rPr>
          <w:rFonts w:cs="Calibri"/>
          <w:sz w:val="24"/>
          <w:szCs w:val="24"/>
        </w:rPr>
        <w:t xml:space="preserve"> United Nations Environment Programme Global Environment Monitoring System (GEMS), New Work.</w:t>
      </w:r>
    </w:p>
    <w:p w14:paraId="2E261A35" w14:textId="77777777" w:rsidR="00501CFE" w:rsidRPr="00033BEA" w:rsidRDefault="00501CFE" w:rsidP="00501CFE">
      <w:pPr>
        <w:widowControl w:val="0"/>
        <w:autoSpaceDE w:val="0"/>
        <w:autoSpaceDN w:val="0"/>
        <w:ind w:left="540" w:hanging="540"/>
        <w:rPr>
          <w:rFonts w:eastAsia="Times New Roman" w:cs="Calibri"/>
          <w:i/>
          <w:iCs/>
          <w:sz w:val="24"/>
          <w:szCs w:val="24"/>
        </w:rPr>
      </w:pPr>
      <w:r w:rsidRPr="00033BEA">
        <w:rPr>
          <w:rFonts w:eastAsia="Times New Roman" w:cs="Calibri"/>
          <w:bCs/>
          <w:iCs/>
          <w:sz w:val="24"/>
          <w:szCs w:val="24"/>
        </w:rPr>
        <w:t>Goswami D C (2011).</w:t>
      </w:r>
      <w:r w:rsidRPr="00033BEA">
        <w:rPr>
          <w:rFonts w:eastAsia="Times New Roman" w:cs="Calibri"/>
          <w:i/>
          <w:iCs/>
          <w:sz w:val="24"/>
          <w:szCs w:val="24"/>
        </w:rPr>
        <w:t xml:space="preserve"> </w:t>
      </w:r>
      <w:r w:rsidRPr="00033BEA">
        <w:rPr>
          <w:rFonts w:eastAsia="Times New Roman" w:cs="Calibri"/>
          <w:sz w:val="24"/>
          <w:szCs w:val="24"/>
        </w:rPr>
        <w:t xml:space="preserve"> </w:t>
      </w:r>
      <w:r w:rsidRPr="00033BEA">
        <w:rPr>
          <w:rFonts w:eastAsia="Times New Roman" w:cs="Calibri"/>
          <w:bCs/>
          <w:sz w:val="24"/>
          <w:szCs w:val="24"/>
        </w:rPr>
        <w:t xml:space="preserve">Growth and lipid productivity of </w:t>
      </w:r>
      <w:r w:rsidRPr="00033BEA">
        <w:rPr>
          <w:rFonts w:eastAsia="Times New Roman" w:cs="Calibri"/>
          <w:bCs/>
          <w:i/>
          <w:iCs/>
          <w:sz w:val="24"/>
          <w:szCs w:val="24"/>
        </w:rPr>
        <w:t xml:space="preserve">Scenedesmus </w:t>
      </w:r>
      <w:r w:rsidRPr="00033BEA">
        <w:rPr>
          <w:rFonts w:eastAsia="Times New Roman" w:cs="Calibri"/>
          <w:bCs/>
          <w:sz w:val="24"/>
          <w:szCs w:val="24"/>
        </w:rPr>
        <w:t>spp. under different concentrations of urea.</w:t>
      </w:r>
      <w:r w:rsidRPr="00033BEA">
        <w:rPr>
          <w:rFonts w:eastAsia="Times New Roman" w:cs="Calibri"/>
          <w:b/>
          <w:bCs/>
          <w:sz w:val="24"/>
          <w:szCs w:val="24"/>
        </w:rPr>
        <w:t xml:space="preserve"> </w:t>
      </w:r>
      <w:r w:rsidRPr="00033BEA">
        <w:rPr>
          <w:rFonts w:eastAsia="Times New Roman" w:cs="Calibri"/>
          <w:i/>
          <w:iCs/>
          <w:sz w:val="24"/>
          <w:szCs w:val="24"/>
        </w:rPr>
        <w:t>JABU,</w:t>
      </w:r>
      <w:r w:rsidRPr="00033BEA">
        <w:rPr>
          <w:rFonts w:eastAsia="Times New Roman" w:cs="Calibri"/>
          <w:b/>
          <w:i/>
          <w:iCs/>
          <w:sz w:val="24"/>
          <w:szCs w:val="24"/>
        </w:rPr>
        <w:t xml:space="preserve"> 2</w:t>
      </w:r>
      <w:r w:rsidRPr="00033BEA">
        <w:rPr>
          <w:rFonts w:eastAsia="Times New Roman" w:cs="Calibri"/>
          <w:i/>
          <w:iCs/>
          <w:sz w:val="24"/>
          <w:szCs w:val="24"/>
        </w:rPr>
        <w:t>:42-49.</w:t>
      </w:r>
    </w:p>
    <w:p w14:paraId="06C825B8"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 xml:space="preserve">Guillard R R L (1975) Culture of phytoplankton for feeding marine invertebrates. </w:t>
      </w:r>
      <w:r w:rsidRPr="00033BEA">
        <w:rPr>
          <w:rFonts w:eastAsia="Times New Roman" w:cs="Calibri"/>
          <w:i/>
          <w:sz w:val="24"/>
          <w:szCs w:val="24"/>
        </w:rPr>
        <w:t>in “Culture of Marine Invertebrate Animals.” (Eds: Smith W.L. and Chanley M.H.</w:t>
      </w:r>
      <w:r w:rsidRPr="00033BEA">
        <w:rPr>
          <w:rFonts w:eastAsia="Times New Roman" w:cs="Calibri"/>
          <w:sz w:val="24"/>
          <w:szCs w:val="24"/>
        </w:rPr>
        <w:t>). Plenum Press, New York, USA. Pp 26-60.</w:t>
      </w:r>
    </w:p>
    <w:p w14:paraId="475BBBBD" w14:textId="77777777" w:rsidR="00501CFE" w:rsidRPr="00033BEA" w:rsidRDefault="00501CFE" w:rsidP="00501CFE">
      <w:pPr>
        <w:widowControl w:val="0"/>
        <w:autoSpaceDE w:val="0"/>
        <w:autoSpaceDN w:val="0"/>
        <w:ind w:left="540" w:hanging="540"/>
        <w:rPr>
          <w:rFonts w:eastAsia="Times New Roman" w:cs="Calibri"/>
          <w:b/>
          <w:bCs/>
          <w:sz w:val="24"/>
          <w:szCs w:val="24"/>
        </w:rPr>
      </w:pPr>
      <w:r w:rsidRPr="00033BEA">
        <w:rPr>
          <w:rFonts w:eastAsia="Times New Roman" w:cs="Calibri"/>
          <w:sz w:val="24"/>
          <w:szCs w:val="24"/>
        </w:rPr>
        <w:t xml:space="preserve">Guillard R R L and Ryther J H (1962). Studies on marine planktonic diatoms I. </w:t>
      </w:r>
      <w:r w:rsidRPr="00033BEA">
        <w:rPr>
          <w:rFonts w:eastAsia="Times New Roman" w:cs="Calibri"/>
          <w:i/>
          <w:iCs/>
          <w:sz w:val="24"/>
          <w:szCs w:val="24"/>
        </w:rPr>
        <w:t xml:space="preserve">Cyclotella nana </w:t>
      </w:r>
      <w:r w:rsidRPr="00033BEA">
        <w:rPr>
          <w:rFonts w:eastAsia="Times New Roman" w:cs="Calibri"/>
          <w:sz w:val="24"/>
          <w:szCs w:val="24"/>
        </w:rPr>
        <w:t xml:space="preserve">Hustedt and </w:t>
      </w:r>
      <w:r w:rsidRPr="00033BEA">
        <w:rPr>
          <w:rFonts w:eastAsia="Times New Roman" w:cs="Calibri"/>
          <w:i/>
          <w:iCs/>
          <w:sz w:val="24"/>
          <w:szCs w:val="24"/>
        </w:rPr>
        <w:t xml:space="preserve">Detonula confervacea </w:t>
      </w:r>
      <w:r w:rsidRPr="00033BEA">
        <w:rPr>
          <w:rFonts w:eastAsia="Times New Roman" w:cs="Calibri"/>
          <w:sz w:val="24"/>
          <w:szCs w:val="24"/>
        </w:rPr>
        <w:t xml:space="preserve">(Cleve) Gran. </w:t>
      </w:r>
      <w:r w:rsidRPr="00033BEA">
        <w:rPr>
          <w:rFonts w:eastAsia="Times New Roman" w:cs="Calibri"/>
          <w:i/>
          <w:sz w:val="24"/>
          <w:szCs w:val="24"/>
        </w:rPr>
        <w:t>Can. J. Micro. 8: 229-239</w:t>
      </w:r>
      <w:r w:rsidRPr="00033BEA">
        <w:rPr>
          <w:rFonts w:eastAsia="Times New Roman" w:cs="Calibri"/>
          <w:sz w:val="24"/>
          <w:szCs w:val="24"/>
        </w:rPr>
        <w:t>.</w:t>
      </w:r>
    </w:p>
    <w:p w14:paraId="253E2ED5"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 xml:space="preserve"> Kraul S (1989). Production of live prey for marine fish larvae. Advances in Atropical Aquaculture, Pp: 605.</w:t>
      </w:r>
    </w:p>
    <w:p w14:paraId="5D976DCE"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 xml:space="preserve">MacIsaac H J and Gilbert J J (1991). </w:t>
      </w:r>
      <w:r w:rsidRPr="00033BEA">
        <w:rPr>
          <w:rFonts w:eastAsia="Times New Roman" w:cs="Calibri"/>
          <w:sz w:val="24"/>
          <w:szCs w:val="24"/>
        </w:rPr>
        <w:t>Competition between Keratella cochlearis and Daphnia ambigua: effects of temporal patterns of food supply. Freshwater Biology, 25: 189-198.</w:t>
      </w:r>
    </w:p>
    <w:p w14:paraId="155C5C2B" w14:textId="77777777" w:rsidR="00501CFE" w:rsidRPr="00033BEA" w:rsidRDefault="00501CFE" w:rsidP="00501CFE">
      <w:pPr>
        <w:widowControl w:val="0"/>
        <w:autoSpaceDE w:val="0"/>
        <w:autoSpaceDN w:val="0"/>
        <w:ind w:left="540" w:hanging="540"/>
        <w:rPr>
          <w:rFonts w:eastAsia="Times New Roman" w:cs="Calibri"/>
          <w:sz w:val="24"/>
          <w:szCs w:val="24"/>
        </w:rPr>
      </w:pPr>
      <w:hyperlink r:id="rId16" w:history="1">
        <w:r w:rsidRPr="00033BEA">
          <w:rPr>
            <w:rFonts w:eastAsia="Times New Roman" w:cs="Calibri"/>
            <w:sz w:val="24"/>
            <w:szCs w:val="24"/>
          </w:rPr>
          <w:t>Mukai Y</w:t>
        </w:r>
      </w:hyperlink>
      <w:r w:rsidRPr="00033BEA">
        <w:rPr>
          <w:rFonts w:eastAsia="Times New Roman" w:cs="Calibri"/>
          <w:sz w:val="24"/>
          <w:szCs w:val="24"/>
        </w:rPr>
        <w:t xml:space="preserve">, </w:t>
      </w:r>
      <w:hyperlink r:id="rId17" w:history="1">
        <w:r w:rsidRPr="00033BEA">
          <w:rPr>
            <w:rFonts w:eastAsia="Times New Roman" w:cs="Calibri"/>
            <w:sz w:val="24"/>
            <w:szCs w:val="24"/>
          </w:rPr>
          <w:t>Sanudin N</w:t>
        </w:r>
      </w:hyperlink>
      <w:r w:rsidRPr="00033BEA">
        <w:rPr>
          <w:rFonts w:eastAsia="Times New Roman" w:cs="Calibri"/>
          <w:sz w:val="24"/>
          <w:szCs w:val="24"/>
        </w:rPr>
        <w:t xml:space="preserve">, </w:t>
      </w:r>
      <w:hyperlink r:id="rId18" w:history="1">
        <w:r w:rsidRPr="00033BEA">
          <w:rPr>
            <w:rFonts w:eastAsia="Times New Roman" w:cs="Calibri"/>
            <w:sz w:val="24"/>
            <w:szCs w:val="24"/>
          </w:rPr>
          <w:t>Firdaus R F</w:t>
        </w:r>
      </w:hyperlink>
      <w:r w:rsidRPr="00033BEA">
        <w:rPr>
          <w:rFonts w:eastAsia="Times New Roman" w:cs="Calibri"/>
          <w:sz w:val="24"/>
          <w:szCs w:val="24"/>
        </w:rPr>
        <w:t xml:space="preserve"> and </w:t>
      </w:r>
      <w:hyperlink r:id="rId19" w:history="1">
        <w:r w:rsidRPr="00033BEA">
          <w:rPr>
            <w:rFonts w:eastAsia="Times New Roman" w:cs="Calibri"/>
            <w:sz w:val="24"/>
            <w:szCs w:val="24"/>
          </w:rPr>
          <w:t>Saad S</w:t>
        </w:r>
      </w:hyperlink>
      <w:r w:rsidRPr="00033BEA">
        <w:rPr>
          <w:rFonts w:eastAsia="Times New Roman" w:cs="Calibri"/>
          <w:sz w:val="24"/>
          <w:szCs w:val="24"/>
        </w:rPr>
        <w:t xml:space="preserve"> (2013). Reduced cannibalistic behavior of African Catfish (Clarias gariepinus) larvae under dark and dim conditions. Zoological Science,   30: 421-424.</w:t>
      </w:r>
    </w:p>
    <w:p w14:paraId="1348996B"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Murugesan S, Sivasubramanian V and Altaff K (2010). Nutritional evaluation and culture of freshwater live food organisms on Catla cattle. J. Algal Biomass Utln. 1 (3): 82 – 103.</w:t>
      </w:r>
    </w:p>
    <w:p w14:paraId="63324F66"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New M B (1998). Global aquaculture: Current trends and challenges for the 21st century. In: Anans do Aquacultura Brasil 98, Vol. I. Nov.2-6, Recife.</w:t>
      </w:r>
    </w:p>
    <w:p w14:paraId="1C1CD85E"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Pronob D, Mandal S C, Bhagabati S K, Akhtar M S and Singh S K (2012). Important live food organisms and their role in aquaculture. In: Frontiers in Aquaculture, Pp. 69–86, (Munilkumar Sukham ed.). Narendra Publishing House. Pp.70.</w:t>
      </w:r>
    </w:p>
    <w:p w14:paraId="19A55F99"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Rahman M S (1992). Water quality management in aquaculture. Published by BRAC Prokashana, 66 Mohakhali, Dhaka-1212, Bangladesh, pp. 71-72.</w:t>
      </w:r>
    </w:p>
    <w:p w14:paraId="78513510"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Rabe J and Brownr J A (2000).  A pulse feeding strategy for rearing larval fish.  Aquaculture 191:  289–302.</w:t>
      </w:r>
    </w:p>
    <w:p w14:paraId="5E6DA7C3"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Ricker E (1975). Computation and Interpretation of biological statistics of fish populations. Bull. Fish. Res. Board Can., 2: (23): 519-29.</w:t>
      </w:r>
    </w:p>
    <w:p w14:paraId="2FC9D4E8"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Rottmann R, Graves S, Watson C and Yanong R (2011). Culture techniques of Moina: The Ideal Daphnia for Feeding Freshwater Fish Fry. University of Florida, Florida, pp.  7.</w:t>
      </w:r>
    </w:p>
    <w:p w14:paraId="6CF9A5CA"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Wetzel R G (2001). Limnology: Lake and River Ecosystems. 3rd ed. Academic Press. N.Y., pp. 1-1006.</w:t>
      </w:r>
    </w:p>
    <w:p w14:paraId="3C6E3842" w14:textId="77777777" w:rsidR="00471621" w:rsidRDefault="00501CFE" w:rsidP="00501CFE">
      <w:pPr>
        <w:widowControl w:val="0"/>
        <w:autoSpaceDE w:val="0"/>
        <w:autoSpaceDN w:val="0"/>
        <w:ind w:left="540" w:hanging="540"/>
        <w:rPr>
          <w:rFonts w:eastAsia="Times New Roman" w:cs="Calibri"/>
          <w:sz w:val="24"/>
          <w:szCs w:val="24"/>
        </w:rPr>
        <w:sectPr w:rsidR="00471621" w:rsidSect="00501CFE">
          <w:type w:val="continuous"/>
          <w:pgSz w:w="11907" w:h="16839" w:code="9"/>
          <w:pgMar w:top="1440" w:right="1440" w:bottom="1440" w:left="1440" w:header="720" w:footer="720" w:gutter="0"/>
          <w:cols w:num="2" w:space="720"/>
          <w:docGrid w:linePitch="360"/>
        </w:sectPr>
      </w:pPr>
      <w:r w:rsidRPr="00033BEA">
        <w:rPr>
          <w:rFonts w:eastAsia="Times New Roman" w:cs="Calibri"/>
          <w:sz w:val="24"/>
          <w:szCs w:val="24"/>
        </w:rPr>
        <w:t xml:space="preserve">Yamamoto, T, Marcouli P A, Unuma T </w:t>
      </w:r>
    </w:p>
    <w:p w14:paraId="405A2A99" w14:textId="553DBC50"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lastRenderedPageBreak/>
        <w:t xml:space="preserve">and Akiama T (1994). Utilization of malt protein flour in fingerling rainbow trout diets. J. Fish. Sci., 60: 455-460. </w:t>
      </w:r>
    </w:p>
    <w:p w14:paraId="5E20FEEE"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Yasmin A, Mollah M F A and</w:t>
      </w:r>
      <w:r w:rsidRPr="00033BEA">
        <w:rPr>
          <w:rFonts w:ascii="Times New Roman" w:eastAsia="Times New Roman" w:hAnsi="Times New Roman"/>
          <w:b/>
          <w:bCs/>
        </w:rPr>
        <w:t xml:space="preserve"> </w:t>
      </w:r>
      <w:r w:rsidRPr="00033BEA">
        <w:rPr>
          <w:rFonts w:eastAsia="Times New Roman" w:cs="Calibri"/>
          <w:sz w:val="24"/>
          <w:szCs w:val="24"/>
        </w:rPr>
        <w:t xml:space="preserve">Haylor G S (1998). Rearing of catfish (Clarias batrachus lin.) larvae with live and prepared feeds. Bangladesh. Fish. Res. 2 (2): 145-150. </w:t>
      </w:r>
    </w:p>
    <w:p w14:paraId="69CF6215" w14:textId="77777777" w:rsidR="00471621" w:rsidRDefault="00471621" w:rsidP="00501CFE">
      <w:pPr>
        <w:widowControl w:val="0"/>
        <w:autoSpaceDE w:val="0"/>
        <w:autoSpaceDN w:val="0"/>
        <w:ind w:left="432" w:hanging="432"/>
        <w:rPr>
          <w:rFonts w:cs="Calibri"/>
          <w:sz w:val="24"/>
          <w:szCs w:val="24"/>
        </w:rPr>
        <w:sectPr w:rsidR="00471621" w:rsidSect="00471621">
          <w:type w:val="continuous"/>
          <w:pgSz w:w="11907" w:h="16839" w:code="9"/>
          <w:pgMar w:top="1440" w:right="1440" w:bottom="1440" w:left="1440" w:header="720" w:footer="720" w:gutter="0"/>
          <w:cols w:space="720"/>
          <w:docGrid w:linePitch="360"/>
        </w:sectPr>
      </w:pPr>
    </w:p>
    <w:p w14:paraId="32E0D803" w14:textId="6B7104BB" w:rsidR="00501CFE" w:rsidRPr="00033BEA" w:rsidRDefault="00501CFE" w:rsidP="00501CFE">
      <w:pPr>
        <w:widowControl w:val="0"/>
        <w:autoSpaceDE w:val="0"/>
        <w:autoSpaceDN w:val="0"/>
        <w:ind w:left="432" w:hanging="432"/>
        <w:rPr>
          <w:rFonts w:cs="Calibri"/>
          <w:sz w:val="24"/>
          <w:szCs w:val="24"/>
        </w:rPr>
      </w:pPr>
    </w:p>
    <w:p w14:paraId="76CBC5FA" w14:textId="77777777" w:rsidR="00501CFE" w:rsidRPr="00033BEA" w:rsidRDefault="00501CFE" w:rsidP="00501CFE"/>
    <w:p w14:paraId="6E1E52E1" w14:textId="77777777" w:rsidR="00C10D88" w:rsidRPr="00C10D88" w:rsidRDefault="00C10D88" w:rsidP="00501CFE">
      <w:pPr>
        <w:widowControl w:val="0"/>
        <w:autoSpaceDE w:val="0"/>
        <w:autoSpaceDN w:val="0"/>
        <w:spacing w:after="240"/>
        <w:rPr>
          <w:rFonts w:ascii="Times New Roman" w:eastAsia="Times New Roman" w:hAnsi="Times New Roman"/>
          <w:b/>
          <w:bCs/>
          <w:sz w:val="24"/>
          <w:szCs w:val="24"/>
        </w:rPr>
      </w:pPr>
    </w:p>
    <w:sectPr w:rsidR="00C10D88" w:rsidRPr="00C10D88" w:rsidSect="00501CFE">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F886E" w14:textId="77777777" w:rsidR="004618C6" w:rsidRDefault="004618C6">
      <w:r>
        <w:separator/>
      </w:r>
    </w:p>
  </w:endnote>
  <w:endnote w:type="continuationSeparator" w:id="0">
    <w:p w14:paraId="195AD7E0" w14:textId="77777777" w:rsidR="004618C6" w:rsidRDefault="0046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TimesNewRoman">
    <w:altName w:val="Malgun Gothic"/>
    <w:charset w:val="80"/>
    <w:family w:val="auto"/>
    <w:pitch w:val="default"/>
    <w:sig w:usb0="00000000"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MS Gothic"/>
    <w:panose1 w:val="00000000000000000000"/>
    <w:charset w:val="00"/>
    <w:family w:val="roman"/>
    <w:notTrueType/>
    <w:pitch w:val="default"/>
  </w:font>
  <w:font w:name="TrebuchetM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758847"/>
      <w:docPartObj>
        <w:docPartGallery w:val="Page Numbers (Bottom of Page)"/>
        <w:docPartUnique/>
      </w:docPartObj>
    </w:sdtPr>
    <w:sdtEndPr>
      <w:rPr>
        <w:noProof/>
      </w:rPr>
    </w:sdtEndPr>
    <w:sdtContent>
      <w:p w14:paraId="7FD3FC9D" w14:textId="46E49144" w:rsidR="00CE1E1D" w:rsidRDefault="00CE1E1D">
        <w:pPr>
          <w:pStyle w:val="Footer"/>
          <w:jc w:val="center"/>
        </w:pPr>
        <w:r>
          <w:fldChar w:fldCharType="begin"/>
        </w:r>
        <w:r>
          <w:instrText xml:space="preserve"> PAGE   \* MERGEFORMAT </w:instrText>
        </w:r>
        <w:r>
          <w:fldChar w:fldCharType="separate"/>
        </w:r>
        <w:r w:rsidR="00794FB1">
          <w:rPr>
            <w:noProof/>
          </w:rPr>
          <w:t>149</w:t>
        </w:r>
        <w:r>
          <w:rPr>
            <w:noProof/>
          </w:rPr>
          <w:fldChar w:fldCharType="end"/>
        </w:r>
      </w:p>
    </w:sdtContent>
  </w:sdt>
  <w:p w14:paraId="0B29FAA4" w14:textId="77777777" w:rsidR="00CE1E1D" w:rsidRDefault="00CE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794FB1">
          <w:rPr>
            <w:noProof/>
          </w:rPr>
          <w:t>13</w:t>
        </w:r>
        <w:r w:rsidR="00794FB1">
          <w:rPr>
            <w:noProof/>
          </w:rPr>
          <w:t>8</w:t>
        </w:r>
        <w:r>
          <w:rPr>
            <w:noProof/>
          </w:rPr>
          <w:fldChar w:fldCharType="end"/>
        </w:r>
      </w:p>
    </w:sdtContent>
  </w:sdt>
  <w:p w14:paraId="0743ED97" w14:textId="77777777" w:rsidR="00CE1E1D" w:rsidRDefault="00CE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891F0" w14:textId="77777777" w:rsidR="004618C6" w:rsidRDefault="004618C6">
      <w:r>
        <w:separator/>
      </w:r>
    </w:p>
  </w:footnote>
  <w:footnote w:type="continuationSeparator" w:id="0">
    <w:p w14:paraId="7B25F812" w14:textId="77777777" w:rsidR="004618C6" w:rsidRDefault="00461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346A7"/>
    <w:multiLevelType w:val="hybridMultilevel"/>
    <w:tmpl w:val="1D084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31AB3"/>
    <w:multiLevelType w:val="hybridMultilevel"/>
    <w:tmpl w:val="D26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B3C37"/>
    <w:multiLevelType w:val="hybridMultilevel"/>
    <w:tmpl w:val="8B34F61A"/>
    <w:lvl w:ilvl="0" w:tplc="FE6873D6">
      <w:start w:val="1"/>
      <w:numFmt w:val="bullet"/>
      <w:lvlText w:val="•"/>
      <w:lvlJc w:val="left"/>
      <w:pPr>
        <w:tabs>
          <w:tab w:val="num" w:pos="720"/>
        </w:tabs>
        <w:ind w:left="720" w:hanging="360"/>
      </w:pPr>
      <w:rPr>
        <w:rFonts w:ascii="Arial" w:hAnsi="Arial" w:hint="default"/>
      </w:rPr>
    </w:lvl>
    <w:lvl w:ilvl="1" w:tplc="5C2A5480" w:tentative="1">
      <w:start w:val="1"/>
      <w:numFmt w:val="bullet"/>
      <w:lvlText w:val="•"/>
      <w:lvlJc w:val="left"/>
      <w:pPr>
        <w:tabs>
          <w:tab w:val="num" w:pos="1440"/>
        </w:tabs>
        <w:ind w:left="1440" w:hanging="360"/>
      </w:pPr>
      <w:rPr>
        <w:rFonts w:ascii="Arial" w:hAnsi="Arial" w:hint="default"/>
      </w:rPr>
    </w:lvl>
    <w:lvl w:ilvl="2" w:tplc="17EE8EA4" w:tentative="1">
      <w:start w:val="1"/>
      <w:numFmt w:val="bullet"/>
      <w:lvlText w:val="•"/>
      <w:lvlJc w:val="left"/>
      <w:pPr>
        <w:tabs>
          <w:tab w:val="num" w:pos="2160"/>
        </w:tabs>
        <w:ind w:left="2160" w:hanging="360"/>
      </w:pPr>
      <w:rPr>
        <w:rFonts w:ascii="Arial" w:hAnsi="Arial" w:hint="default"/>
      </w:rPr>
    </w:lvl>
    <w:lvl w:ilvl="3" w:tplc="A5D2D33A" w:tentative="1">
      <w:start w:val="1"/>
      <w:numFmt w:val="bullet"/>
      <w:lvlText w:val="•"/>
      <w:lvlJc w:val="left"/>
      <w:pPr>
        <w:tabs>
          <w:tab w:val="num" w:pos="2880"/>
        </w:tabs>
        <w:ind w:left="2880" w:hanging="360"/>
      </w:pPr>
      <w:rPr>
        <w:rFonts w:ascii="Arial" w:hAnsi="Arial" w:hint="default"/>
      </w:rPr>
    </w:lvl>
    <w:lvl w:ilvl="4" w:tplc="FE3AB282" w:tentative="1">
      <w:start w:val="1"/>
      <w:numFmt w:val="bullet"/>
      <w:lvlText w:val="•"/>
      <w:lvlJc w:val="left"/>
      <w:pPr>
        <w:tabs>
          <w:tab w:val="num" w:pos="3600"/>
        </w:tabs>
        <w:ind w:left="3600" w:hanging="360"/>
      </w:pPr>
      <w:rPr>
        <w:rFonts w:ascii="Arial" w:hAnsi="Arial" w:hint="default"/>
      </w:rPr>
    </w:lvl>
    <w:lvl w:ilvl="5" w:tplc="C7B02CD8" w:tentative="1">
      <w:start w:val="1"/>
      <w:numFmt w:val="bullet"/>
      <w:lvlText w:val="•"/>
      <w:lvlJc w:val="left"/>
      <w:pPr>
        <w:tabs>
          <w:tab w:val="num" w:pos="4320"/>
        </w:tabs>
        <w:ind w:left="4320" w:hanging="360"/>
      </w:pPr>
      <w:rPr>
        <w:rFonts w:ascii="Arial" w:hAnsi="Arial" w:hint="default"/>
      </w:rPr>
    </w:lvl>
    <w:lvl w:ilvl="6" w:tplc="D1F894DA" w:tentative="1">
      <w:start w:val="1"/>
      <w:numFmt w:val="bullet"/>
      <w:lvlText w:val="•"/>
      <w:lvlJc w:val="left"/>
      <w:pPr>
        <w:tabs>
          <w:tab w:val="num" w:pos="5040"/>
        </w:tabs>
        <w:ind w:left="5040" w:hanging="360"/>
      </w:pPr>
      <w:rPr>
        <w:rFonts w:ascii="Arial" w:hAnsi="Arial" w:hint="default"/>
      </w:rPr>
    </w:lvl>
    <w:lvl w:ilvl="7" w:tplc="EDB830EE" w:tentative="1">
      <w:start w:val="1"/>
      <w:numFmt w:val="bullet"/>
      <w:lvlText w:val="•"/>
      <w:lvlJc w:val="left"/>
      <w:pPr>
        <w:tabs>
          <w:tab w:val="num" w:pos="5760"/>
        </w:tabs>
        <w:ind w:left="5760" w:hanging="360"/>
      </w:pPr>
      <w:rPr>
        <w:rFonts w:ascii="Arial" w:hAnsi="Arial" w:hint="default"/>
      </w:rPr>
    </w:lvl>
    <w:lvl w:ilvl="8" w:tplc="927E6A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185D74"/>
    <w:multiLevelType w:val="hybridMultilevel"/>
    <w:tmpl w:val="03C2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24D77"/>
    <w:multiLevelType w:val="hybridMultilevel"/>
    <w:tmpl w:val="102A8FD4"/>
    <w:lvl w:ilvl="0" w:tplc="1CE01A06">
      <w:start w:val="1"/>
      <w:numFmt w:val="bullet"/>
      <w:lvlText w:val="•"/>
      <w:lvlJc w:val="left"/>
      <w:pPr>
        <w:tabs>
          <w:tab w:val="num" w:pos="720"/>
        </w:tabs>
        <w:ind w:left="720" w:hanging="360"/>
      </w:pPr>
      <w:rPr>
        <w:rFonts w:ascii="Arial" w:hAnsi="Arial" w:hint="default"/>
      </w:rPr>
    </w:lvl>
    <w:lvl w:ilvl="1" w:tplc="A46E83B6" w:tentative="1">
      <w:start w:val="1"/>
      <w:numFmt w:val="bullet"/>
      <w:lvlText w:val="•"/>
      <w:lvlJc w:val="left"/>
      <w:pPr>
        <w:tabs>
          <w:tab w:val="num" w:pos="1440"/>
        </w:tabs>
        <w:ind w:left="1440" w:hanging="360"/>
      </w:pPr>
      <w:rPr>
        <w:rFonts w:ascii="Arial" w:hAnsi="Arial" w:hint="default"/>
      </w:rPr>
    </w:lvl>
    <w:lvl w:ilvl="2" w:tplc="7EF28204" w:tentative="1">
      <w:start w:val="1"/>
      <w:numFmt w:val="bullet"/>
      <w:lvlText w:val="•"/>
      <w:lvlJc w:val="left"/>
      <w:pPr>
        <w:tabs>
          <w:tab w:val="num" w:pos="2160"/>
        </w:tabs>
        <w:ind w:left="2160" w:hanging="360"/>
      </w:pPr>
      <w:rPr>
        <w:rFonts w:ascii="Arial" w:hAnsi="Arial" w:hint="default"/>
      </w:rPr>
    </w:lvl>
    <w:lvl w:ilvl="3" w:tplc="7CE857A8" w:tentative="1">
      <w:start w:val="1"/>
      <w:numFmt w:val="bullet"/>
      <w:lvlText w:val="•"/>
      <w:lvlJc w:val="left"/>
      <w:pPr>
        <w:tabs>
          <w:tab w:val="num" w:pos="2880"/>
        </w:tabs>
        <w:ind w:left="2880" w:hanging="360"/>
      </w:pPr>
      <w:rPr>
        <w:rFonts w:ascii="Arial" w:hAnsi="Arial" w:hint="default"/>
      </w:rPr>
    </w:lvl>
    <w:lvl w:ilvl="4" w:tplc="64D48A72" w:tentative="1">
      <w:start w:val="1"/>
      <w:numFmt w:val="bullet"/>
      <w:lvlText w:val="•"/>
      <w:lvlJc w:val="left"/>
      <w:pPr>
        <w:tabs>
          <w:tab w:val="num" w:pos="3600"/>
        </w:tabs>
        <w:ind w:left="3600" w:hanging="360"/>
      </w:pPr>
      <w:rPr>
        <w:rFonts w:ascii="Arial" w:hAnsi="Arial" w:hint="default"/>
      </w:rPr>
    </w:lvl>
    <w:lvl w:ilvl="5" w:tplc="A2D084F6" w:tentative="1">
      <w:start w:val="1"/>
      <w:numFmt w:val="bullet"/>
      <w:lvlText w:val="•"/>
      <w:lvlJc w:val="left"/>
      <w:pPr>
        <w:tabs>
          <w:tab w:val="num" w:pos="4320"/>
        </w:tabs>
        <w:ind w:left="4320" w:hanging="360"/>
      </w:pPr>
      <w:rPr>
        <w:rFonts w:ascii="Arial" w:hAnsi="Arial" w:hint="default"/>
      </w:rPr>
    </w:lvl>
    <w:lvl w:ilvl="6" w:tplc="356A964E" w:tentative="1">
      <w:start w:val="1"/>
      <w:numFmt w:val="bullet"/>
      <w:lvlText w:val="•"/>
      <w:lvlJc w:val="left"/>
      <w:pPr>
        <w:tabs>
          <w:tab w:val="num" w:pos="5040"/>
        </w:tabs>
        <w:ind w:left="5040" w:hanging="360"/>
      </w:pPr>
      <w:rPr>
        <w:rFonts w:ascii="Arial" w:hAnsi="Arial" w:hint="default"/>
      </w:rPr>
    </w:lvl>
    <w:lvl w:ilvl="7" w:tplc="A15841D2" w:tentative="1">
      <w:start w:val="1"/>
      <w:numFmt w:val="bullet"/>
      <w:lvlText w:val="•"/>
      <w:lvlJc w:val="left"/>
      <w:pPr>
        <w:tabs>
          <w:tab w:val="num" w:pos="5760"/>
        </w:tabs>
        <w:ind w:left="5760" w:hanging="360"/>
      </w:pPr>
      <w:rPr>
        <w:rFonts w:ascii="Arial" w:hAnsi="Arial" w:hint="default"/>
      </w:rPr>
    </w:lvl>
    <w:lvl w:ilvl="8" w:tplc="718202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9A0DBC"/>
    <w:multiLevelType w:val="hybridMultilevel"/>
    <w:tmpl w:val="523640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0C59CE"/>
    <w:multiLevelType w:val="hybridMultilevel"/>
    <w:tmpl w:val="E67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0" w15:restartNumberingAfterBreak="0">
    <w:nsid w:val="264603BB"/>
    <w:multiLevelType w:val="hybridMultilevel"/>
    <w:tmpl w:val="4F20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E2EF7"/>
    <w:multiLevelType w:val="hybridMultilevel"/>
    <w:tmpl w:val="D4426FA6"/>
    <w:lvl w:ilvl="0" w:tplc="D0143388">
      <w:start w:val="1"/>
      <w:numFmt w:val="bullet"/>
      <w:lvlText w:val="•"/>
      <w:lvlJc w:val="left"/>
      <w:pPr>
        <w:tabs>
          <w:tab w:val="num" w:pos="720"/>
        </w:tabs>
        <w:ind w:left="720" w:hanging="360"/>
      </w:pPr>
      <w:rPr>
        <w:rFonts w:ascii="Arial" w:hAnsi="Arial" w:hint="default"/>
      </w:rPr>
    </w:lvl>
    <w:lvl w:ilvl="1" w:tplc="69A08818" w:tentative="1">
      <w:start w:val="1"/>
      <w:numFmt w:val="bullet"/>
      <w:lvlText w:val="•"/>
      <w:lvlJc w:val="left"/>
      <w:pPr>
        <w:tabs>
          <w:tab w:val="num" w:pos="1440"/>
        </w:tabs>
        <w:ind w:left="1440" w:hanging="360"/>
      </w:pPr>
      <w:rPr>
        <w:rFonts w:ascii="Arial" w:hAnsi="Arial" w:hint="default"/>
      </w:rPr>
    </w:lvl>
    <w:lvl w:ilvl="2" w:tplc="689241F6" w:tentative="1">
      <w:start w:val="1"/>
      <w:numFmt w:val="bullet"/>
      <w:lvlText w:val="•"/>
      <w:lvlJc w:val="left"/>
      <w:pPr>
        <w:tabs>
          <w:tab w:val="num" w:pos="2160"/>
        </w:tabs>
        <w:ind w:left="2160" w:hanging="360"/>
      </w:pPr>
      <w:rPr>
        <w:rFonts w:ascii="Arial" w:hAnsi="Arial" w:hint="default"/>
      </w:rPr>
    </w:lvl>
    <w:lvl w:ilvl="3" w:tplc="E08A8A8E" w:tentative="1">
      <w:start w:val="1"/>
      <w:numFmt w:val="bullet"/>
      <w:lvlText w:val="•"/>
      <w:lvlJc w:val="left"/>
      <w:pPr>
        <w:tabs>
          <w:tab w:val="num" w:pos="2880"/>
        </w:tabs>
        <w:ind w:left="2880" w:hanging="360"/>
      </w:pPr>
      <w:rPr>
        <w:rFonts w:ascii="Arial" w:hAnsi="Arial" w:hint="default"/>
      </w:rPr>
    </w:lvl>
    <w:lvl w:ilvl="4" w:tplc="F496B5FA" w:tentative="1">
      <w:start w:val="1"/>
      <w:numFmt w:val="bullet"/>
      <w:lvlText w:val="•"/>
      <w:lvlJc w:val="left"/>
      <w:pPr>
        <w:tabs>
          <w:tab w:val="num" w:pos="3600"/>
        </w:tabs>
        <w:ind w:left="3600" w:hanging="360"/>
      </w:pPr>
      <w:rPr>
        <w:rFonts w:ascii="Arial" w:hAnsi="Arial" w:hint="default"/>
      </w:rPr>
    </w:lvl>
    <w:lvl w:ilvl="5" w:tplc="A9D601E0" w:tentative="1">
      <w:start w:val="1"/>
      <w:numFmt w:val="bullet"/>
      <w:lvlText w:val="•"/>
      <w:lvlJc w:val="left"/>
      <w:pPr>
        <w:tabs>
          <w:tab w:val="num" w:pos="4320"/>
        </w:tabs>
        <w:ind w:left="4320" w:hanging="360"/>
      </w:pPr>
      <w:rPr>
        <w:rFonts w:ascii="Arial" w:hAnsi="Arial" w:hint="default"/>
      </w:rPr>
    </w:lvl>
    <w:lvl w:ilvl="6" w:tplc="4E0CAA84" w:tentative="1">
      <w:start w:val="1"/>
      <w:numFmt w:val="bullet"/>
      <w:lvlText w:val="•"/>
      <w:lvlJc w:val="left"/>
      <w:pPr>
        <w:tabs>
          <w:tab w:val="num" w:pos="5040"/>
        </w:tabs>
        <w:ind w:left="5040" w:hanging="360"/>
      </w:pPr>
      <w:rPr>
        <w:rFonts w:ascii="Arial" w:hAnsi="Arial" w:hint="default"/>
      </w:rPr>
    </w:lvl>
    <w:lvl w:ilvl="7" w:tplc="0C7428D2" w:tentative="1">
      <w:start w:val="1"/>
      <w:numFmt w:val="bullet"/>
      <w:lvlText w:val="•"/>
      <w:lvlJc w:val="left"/>
      <w:pPr>
        <w:tabs>
          <w:tab w:val="num" w:pos="5760"/>
        </w:tabs>
        <w:ind w:left="5760" w:hanging="360"/>
      </w:pPr>
      <w:rPr>
        <w:rFonts w:ascii="Arial" w:hAnsi="Arial" w:hint="default"/>
      </w:rPr>
    </w:lvl>
    <w:lvl w:ilvl="8" w:tplc="48622B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240AB1"/>
    <w:multiLevelType w:val="hybridMultilevel"/>
    <w:tmpl w:val="D18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E4E99"/>
    <w:multiLevelType w:val="hybridMultilevel"/>
    <w:tmpl w:val="820697D8"/>
    <w:lvl w:ilvl="0" w:tplc="F6CED40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5025A"/>
    <w:multiLevelType w:val="hybridMultilevel"/>
    <w:tmpl w:val="F3547270"/>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 w15:restartNumberingAfterBreak="0">
    <w:nsid w:val="31AE0E4C"/>
    <w:multiLevelType w:val="hybridMultilevel"/>
    <w:tmpl w:val="4D5E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7" w15:restartNumberingAfterBreak="0">
    <w:nsid w:val="44412F58"/>
    <w:multiLevelType w:val="hybridMultilevel"/>
    <w:tmpl w:val="DBD0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A0B18"/>
    <w:multiLevelType w:val="hybridMultilevel"/>
    <w:tmpl w:val="A7725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DE21D13"/>
    <w:multiLevelType w:val="hybridMultilevel"/>
    <w:tmpl w:val="7FC66C52"/>
    <w:lvl w:ilvl="0" w:tplc="0409000F">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DF627DF"/>
    <w:multiLevelType w:val="multilevel"/>
    <w:tmpl w:val="55FACEC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E1594D"/>
    <w:multiLevelType w:val="hybridMultilevel"/>
    <w:tmpl w:val="A0A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074E89"/>
    <w:multiLevelType w:val="hybridMultilevel"/>
    <w:tmpl w:val="22322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3E64EE"/>
    <w:multiLevelType w:val="hybridMultilevel"/>
    <w:tmpl w:val="7FD23B5C"/>
    <w:lvl w:ilvl="0" w:tplc="25A6BA2A">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D15DE"/>
    <w:multiLevelType w:val="hybridMultilevel"/>
    <w:tmpl w:val="51EE74BA"/>
    <w:lvl w:ilvl="0" w:tplc="80689738">
      <w:start w:val="1"/>
      <w:numFmt w:val="bullet"/>
      <w:lvlText w:val="•"/>
      <w:lvlJc w:val="left"/>
      <w:pPr>
        <w:tabs>
          <w:tab w:val="num" w:pos="720"/>
        </w:tabs>
        <w:ind w:left="720" w:hanging="360"/>
      </w:pPr>
      <w:rPr>
        <w:rFonts w:ascii="Arial" w:hAnsi="Arial" w:hint="default"/>
      </w:rPr>
    </w:lvl>
    <w:lvl w:ilvl="1" w:tplc="D5D4E5F4" w:tentative="1">
      <w:start w:val="1"/>
      <w:numFmt w:val="bullet"/>
      <w:lvlText w:val="•"/>
      <w:lvlJc w:val="left"/>
      <w:pPr>
        <w:tabs>
          <w:tab w:val="num" w:pos="1440"/>
        </w:tabs>
        <w:ind w:left="1440" w:hanging="360"/>
      </w:pPr>
      <w:rPr>
        <w:rFonts w:ascii="Arial" w:hAnsi="Arial" w:hint="default"/>
      </w:rPr>
    </w:lvl>
    <w:lvl w:ilvl="2" w:tplc="50926100" w:tentative="1">
      <w:start w:val="1"/>
      <w:numFmt w:val="bullet"/>
      <w:lvlText w:val="•"/>
      <w:lvlJc w:val="left"/>
      <w:pPr>
        <w:tabs>
          <w:tab w:val="num" w:pos="2160"/>
        </w:tabs>
        <w:ind w:left="2160" w:hanging="360"/>
      </w:pPr>
      <w:rPr>
        <w:rFonts w:ascii="Arial" w:hAnsi="Arial" w:hint="default"/>
      </w:rPr>
    </w:lvl>
    <w:lvl w:ilvl="3" w:tplc="AC3C04C4" w:tentative="1">
      <w:start w:val="1"/>
      <w:numFmt w:val="bullet"/>
      <w:lvlText w:val="•"/>
      <w:lvlJc w:val="left"/>
      <w:pPr>
        <w:tabs>
          <w:tab w:val="num" w:pos="2880"/>
        </w:tabs>
        <w:ind w:left="2880" w:hanging="360"/>
      </w:pPr>
      <w:rPr>
        <w:rFonts w:ascii="Arial" w:hAnsi="Arial" w:hint="default"/>
      </w:rPr>
    </w:lvl>
    <w:lvl w:ilvl="4" w:tplc="39409924" w:tentative="1">
      <w:start w:val="1"/>
      <w:numFmt w:val="bullet"/>
      <w:lvlText w:val="•"/>
      <w:lvlJc w:val="left"/>
      <w:pPr>
        <w:tabs>
          <w:tab w:val="num" w:pos="3600"/>
        </w:tabs>
        <w:ind w:left="3600" w:hanging="360"/>
      </w:pPr>
      <w:rPr>
        <w:rFonts w:ascii="Arial" w:hAnsi="Arial" w:hint="default"/>
      </w:rPr>
    </w:lvl>
    <w:lvl w:ilvl="5" w:tplc="A67697BC" w:tentative="1">
      <w:start w:val="1"/>
      <w:numFmt w:val="bullet"/>
      <w:lvlText w:val="•"/>
      <w:lvlJc w:val="left"/>
      <w:pPr>
        <w:tabs>
          <w:tab w:val="num" w:pos="4320"/>
        </w:tabs>
        <w:ind w:left="4320" w:hanging="360"/>
      </w:pPr>
      <w:rPr>
        <w:rFonts w:ascii="Arial" w:hAnsi="Arial" w:hint="default"/>
      </w:rPr>
    </w:lvl>
    <w:lvl w:ilvl="6" w:tplc="8C2E3656" w:tentative="1">
      <w:start w:val="1"/>
      <w:numFmt w:val="bullet"/>
      <w:lvlText w:val="•"/>
      <w:lvlJc w:val="left"/>
      <w:pPr>
        <w:tabs>
          <w:tab w:val="num" w:pos="5040"/>
        </w:tabs>
        <w:ind w:left="5040" w:hanging="360"/>
      </w:pPr>
      <w:rPr>
        <w:rFonts w:ascii="Arial" w:hAnsi="Arial" w:hint="default"/>
      </w:rPr>
    </w:lvl>
    <w:lvl w:ilvl="7" w:tplc="CA4A34C0" w:tentative="1">
      <w:start w:val="1"/>
      <w:numFmt w:val="bullet"/>
      <w:lvlText w:val="•"/>
      <w:lvlJc w:val="left"/>
      <w:pPr>
        <w:tabs>
          <w:tab w:val="num" w:pos="5760"/>
        </w:tabs>
        <w:ind w:left="5760" w:hanging="360"/>
      </w:pPr>
      <w:rPr>
        <w:rFonts w:ascii="Arial" w:hAnsi="Arial" w:hint="default"/>
      </w:rPr>
    </w:lvl>
    <w:lvl w:ilvl="8" w:tplc="1E60D2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760BB0"/>
    <w:multiLevelType w:val="hybridMultilevel"/>
    <w:tmpl w:val="47945C98"/>
    <w:lvl w:ilvl="0" w:tplc="8C7AA304">
      <w:start w:val="1"/>
      <w:numFmt w:val="bullet"/>
      <w:lvlText w:val="•"/>
      <w:lvlJc w:val="left"/>
      <w:pPr>
        <w:tabs>
          <w:tab w:val="num" w:pos="720"/>
        </w:tabs>
        <w:ind w:left="720" w:hanging="360"/>
      </w:pPr>
      <w:rPr>
        <w:rFonts w:ascii="Times New Roman" w:hAnsi="Times New Roman" w:hint="default"/>
      </w:rPr>
    </w:lvl>
    <w:lvl w:ilvl="1" w:tplc="79B0E70A" w:tentative="1">
      <w:start w:val="1"/>
      <w:numFmt w:val="bullet"/>
      <w:lvlText w:val="•"/>
      <w:lvlJc w:val="left"/>
      <w:pPr>
        <w:tabs>
          <w:tab w:val="num" w:pos="1440"/>
        </w:tabs>
        <w:ind w:left="1440" w:hanging="360"/>
      </w:pPr>
      <w:rPr>
        <w:rFonts w:ascii="Times New Roman" w:hAnsi="Times New Roman" w:hint="default"/>
      </w:rPr>
    </w:lvl>
    <w:lvl w:ilvl="2" w:tplc="2AD6DB2E" w:tentative="1">
      <w:start w:val="1"/>
      <w:numFmt w:val="bullet"/>
      <w:lvlText w:val="•"/>
      <w:lvlJc w:val="left"/>
      <w:pPr>
        <w:tabs>
          <w:tab w:val="num" w:pos="2160"/>
        </w:tabs>
        <w:ind w:left="2160" w:hanging="360"/>
      </w:pPr>
      <w:rPr>
        <w:rFonts w:ascii="Times New Roman" w:hAnsi="Times New Roman" w:hint="default"/>
      </w:rPr>
    </w:lvl>
    <w:lvl w:ilvl="3" w:tplc="1278DC02" w:tentative="1">
      <w:start w:val="1"/>
      <w:numFmt w:val="bullet"/>
      <w:lvlText w:val="•"/>
      <w:lvlJc w:val="left"/>
      <w:pPr>
        <w:tabs>
          <w:tab w:val="num" w:pos="2880"/>
        </w:tabs>
        <w:ind w:left="2880" w:hanging="360"/>
      </w:pPr>
      <w:rPr>
        <w:rFonts w:ascii="Times New Roman" w:hAnsi="Times New Roman" w:hint="default"/>
      </w:rPr>
    </w:lvl>
    <w:lvl w:ilvl="4" w:tplc="E7E6F29C" w:tentative="1">
      <w:start w:val="1"/>
      <w:numFmt w:val="bullet"/>
      <w:lvlText w:val="•"/>
      <w:lvlJc w:val="left"/>
      <w:pPr>
        <w:tabs>
          <w:tab w:val="num" w:pos="3600"/>
        </w:tabs>
        <w:ind w:left="3600" w:hanging="360"/>
      </w:pPr>
      <w:rPr>
        <w:rFonts w:ascii="Times New Roman" w:hAnsi="Times New Roman" w:hint="default"/>
      </w:rPr>
    </w:lvl>
    <w:lvl w:ilvl="5" w:tplc="F13065A2" w:tentative="1">
      <w:start w:val="1"/>
      <w:numFmt w:val="bullet"/>
      <w:lvlText w:val="•"/>
      <w:lvlJc w:val="left"/>
      <w:pPr>
        <w:tabs>
          <w:tab w:val="num" w:pos="4320"/>
        </w:tabs>
        <w:ind w:left="4320" w:hanging="360"/>
      </w:pPr>
      <w:rPr>
        <w:rFonts w:ascii="Times New Roman" w:hAnsi="Times New Roman" w:hint="default"/>
      </w:rPr>
    </w:lvl>
    <w:lvl w:ilvl="6" w:tplc="655E6574" w:tentative="1">
      <w:start w:val="1"/>
      <w:numFmt w:val="bullet"/>
      <w:lvlText w:val="•"/>
      <w:lvlJc w:val="left"/>
      <w:pPr>
        <w:tabs>
          <w:tab w:val="num" w:pos="5040"/>
        </w:tabs>
        <w:ind w:left="5040" w:hanging="360"/>
      </w:pPr>
      <w:rPr>
        <w:rFonts w:ascii="Times New Roman" w:hAnsi="Times New Roman" w:hint="default"/>
      </w:rPr>
    </w:lvl>
    <w:lvl w:ilvl="7" w:tplc="8562619E" w:tentative="1">
      <w:start w:val="1"/>
      <w:numFmt w:val="bullet"/>
      <w:lvlText w:val="•"/>
      <w:lvlJc w:val="left"/>
      <w:pPr>
        <w:tabs>
          <w:tab w:val="num" w:pos="5760"/>
        </w:tabs>
        <w:ind w:left="5760" w:hanging="360"/>
      </w:pPr>
      <w:rPr>
        <w:rFonts w:ascii="Times New Roman" w:hAnsi="Times New Roman" w:hint="default"/>
      </w:rPr>
    </w:lvl>
    <w:lvl w:ilvl="8" w:tplc="5516A91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DFC6558"/>
    <w:multiLevelType w:val="multilevel"/>
    <w:tmpl w:val="1806EEBE"/>
    <w:lvl w:ilvl="0">
      <w:start w:val="1"/>
      <w:numFmt w:val="decimal"/>
      <w:lvlText w:val="%1."/>
      <w:lvlJc w:val="left"/>
      <w:pPr>
        <w:ind w:left="720" w:hanging="360"/>
      </w:pPr>
      <w:rPr>
        <w:rFonts w:hint="default"/>
        <w:color w:val="auto"/>
        <w:sz w:val="28"/>
      </w:rPr>
    </w:lvl>
    <w:lvl w:ilvl="1">
      <w:start w:val="1"/>
      <w:numFmt w:val="decimal"/>
      <w:isLgl/>
      <w:lvlText w:val="%1.%2."/>
      <w:lvlJc w:val="left"/>
      <w:pPr>
        <w:ind w:left="780" w:hanging="420"/>
      </w:pPr>
      <w:rPr>
        <w:rFonts w:asciiTheme="majorHAnsi" w:hAnsiTheme="majorHAnsi" w:cstheme="majorBidi" w:hint="default"/>
        <w:b/>
        <w:i w:val="0"/>
        <w:color w:val="auto"/>
        <w:sz w:val="26"/>
      </w:rPr>
    </w:lvl>
    <w:lvl w:ilvl="2">
      <w:start w:val="1"/>
      <w:numFmt w:val="decimal"/>
      <w:isLgl/>
      <w:lvlText w:val="%1.%2.%3."/>
      <w:lvlJc w:val="left"/>
      <w:pPr>
        <w:ind w:left="1080" w:hanging="720"/>
      </w:pPr>
      <w:rPr>
        <w:rFonts w:asciiTheme="majorHAnsi" w:hAnsiTheme="majorHAnsi" w:cstheme="majorBidi" w:hint="default"/>
        <w:b/>
        <w:i w:val="0"/>
        <w:color w:val="auto"/>
        <w:sz w:val="24"/>
      </w:rPr>
    </w:lvl>
    <w:lvl w:ilvl="3">
      <w:start w:val="1"/>
      <w:numFmt w:val="decimal"/>
      <w:isLgl/>
      <w:lvlText w:val="%1.%2.%3.%4."/>
      <w:lvlJc w:val="left"/>
      <w:pPr>
        <w:ind w:left="1080" w:hanging="720"/>
      </w:pPr>
      <w:rPr>
        <w:rFonts w:asciiTheme="majorHAnsi" w:hAnsiTheme="majorHAnsi" w:cstheme="majorBidi" w:hint="default"/>
        <w:b/>
        <w:i w:val="0"/>
        <w:color w:val="5B9BD5" w:themeColor="accent1"/>
        <w:sz w:val="26"/>
      </w:rPr>
    </w:lvl>
    <w:lvl w:ilvl="4">
      <w:start w:val="1"/>
      <w:numFmt w:val="decimal"/>
      <w:isLgl/>
      <w:lvlText w:val="%1.%2.%3.%4.%5."/>
      <w:lvlJc w:val="left"/>
      <w:pPr>
        <w:ind w:left="1440" w:hanging="1080"/>
      </w:pPr>
      <w:rPr>
        <w:rFonts w:asciiTheme="majorHAnsi" w:hAnsiTheme="majorHAnsi" w:cstheme="majorBidi" w:hint="default"/>
        <w:b/>
        <w:i w:val="0"/>
        <w:color w:val="5B9BD5" w:themeColor="accent1"/>
        <w:sz w:val="26"/>
      </w:rPr>
    </w:lvl>
    <w:lvl w:ilvl="5">
      <w:start w:val="1"/>
      <w:numFmt w:val="decimal"/>
      <w:isLgl/>
      <w:lvlText w:val="%1.%2.%3.%4.%5.%6."/>
      <w:lvlJc w:val="left"/>
      <w:pPr>
        <w:ind w:left="1440" w:hanging="1080"/>
      </w:pPr>
      <w:rPr>
        <w:rFonts w:asciiTheme="majorHAnsi" w:hAnsiTheme="majorHAnsi" w:cstheme="majorBidi" w:hint="default"/>
        <w:b/>
        <w:i w:val="0"/>
        <w:color w:val="5B9BD5" w:themeColor="accent1"/>
        <w:sz w:val="26"/>
      </w:rPr>
    </w:lvl>
    <w:lvl w:ilvl="6">
      <w:start w:val="1"/>
      <w:numFmt w:val="decimal"/>
      <w:isLgl/>
      <w:lvlText w:val="%1.%2.%3.%4.%5.%6.%7."/>
      <w:lvlJc w:val="left"/>
      <w:pPr>
        <w:ind w:left="1800" w:hanging="1440"/>
      </w:pPr>
      <w:rPr>
        <w:rFonts w:asciiTheme="majorHAnsi" w:hAnsiTheme="majorHAnsi" w:cstheme="majorBidi" w:hint="default"/>
        <w:b/>
        <w:i w:val="0"/>
        <w:color w:val="5B9BD5" w:themeColor="accent1"/>
        <w:sz w:val="26"/>
      </w:rPr>
    </w:lvl>
    <w:lvl w:ilvl="7">
      <w:start w:val="1"/>
      <w:numFmt w:val="decimal"/>
      <w:isLgl/>
      <w:lvlText w:val="%1.%2.%3.%4.%5.%6.%7.%8."/>
      <w:lvlJc w:val="left"/>
      <w:pPr>
        <w:ind w:left="1800" w:hanging="1440"/>
      </w:pPr>
      <w:rPr>
        <w:rFonts w:asciiTheme="majorHAnsi" w:hAnsiTheme="majorHAnsi" w:cstheme="majorBidi" w:hint="default"/>
        <w:b/>
        <w:i w:val="0"/>
        <w:color w:val="5B9BD5" w:themeColor="accent1"/>
        <w:sz w:val="26"/>
      </w:rPr>
    </w:lvl>
    <w:lvl w:ilvl="8">
      <w:start w:val="1"/>
      <w:numFmt w:val="decimal"/>
      <w:isLgl/>
      <w:lvlText w:val="%1.%2.%3.%4.%5.%6.%7.%8.%9."/>
      <w:lvlJc w:val="left"/>
      <w:pPr>
        <w:ind w:left="2160" w:hanging="1800"/>
      </w:pPr>
      <w:rPr>
        <w:rFonts w:asciiTheme="majorHAnsi" w:hAnsiTheme="majorHAnsi" w:cstheme="majorBidi" w:hint="default"/>
        <w:b/>
        <w:i w:val="0"/>
        <w:color w:val="5B9BD5" w:themeColor="accent1"/>
        <w:sz w:val="26"/>
      </w:rPr>
    </w:lvl>
  </w:abstractNum>
  <w:abstractNum w:abstractNumId="27" w15:restartNumberingAfterBreak="0">
    <w:nsid w:val="62826493"/>
    <w:multiLevelType w:val="hybridMultilevel"/>
    <w:tmpl w:val="8F1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72C634F"/>
    <w:multiLevelType w:val="hybridMultilevel"/>
    <w:tmpl w:val="CF0C9F76"/>
    <w:lvl w:ilvl="0" w:tplc="00C4B4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6D6E6D70"/>
    <w:multiLevelType w:val="multilevel"/>
    <w:tmpl w:val="0374FB62"/>
    <w:lvl w:ilvl="0">
      <w:start w:val="2"/>
      <w:numFmt w:val="decimal"/>
      <w:lvlText w:val="%1."/>
      <w:lvlJc w:val="left"/>
      <w:pPr>
        <w:ind w:left="1440" w:hanging="360"/>
      </w:pPr>
      <w:rPr>
        <w:rFonts w:eastAsia="+mj-ea" w:hint="default"/>
        <w:b/>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71FA460E"/>
    <w:multiLevelType w:val="hybridMultilevel"/>
    <w:tmpl w:val="AFF6E834"/>
    <w:lvl w:ilvl="0" w:tplc="96D4C2EE">
      <w:start w:val="1"/>
      <w:numFmt w:val="bullet"/>
      <w:lvlText w:val="•"/>
      <w:lvlJc w:val="left"/>
      <w:pPr>
        <w:tabs>
          <w:tab w:val="num" w:pos="720"/>
        </w:tabs>
        <w:ind w:left="720" w:hanging="360"/>
      </w:pPr>
      <w:rPr>
        <w:rFonts w:ascii="Arial" w:hAnsi="Arial" w:hint="default"/>
      </w:rPr>
    </w:lvl>
    <w:lvl w:ilvl="1" w:tplc="D62CCF78" w:tentative="1">
      <w:start w:val="1"/>
      <w:numFmt w:val="bullet"/>
      <w:lvlText w:val="•"/>
      <w:lvlJc w:val="left"/>
      <w:pPr>
        <w:tabs>
          <w:tab w:val="num" w:pos="1440"/>
        </w:tabs>
        <w:ind w:left="1440" w:hanging="360"/>
      </w:pPr>
      <w:rPr>
        <w:rFonts w:ascii="Arial" w:hAnsi="Arial" w:hint="default"/>
      </w:rPr>
    </w:lvl>
    <w:lvl w:ilvl="2" w:tplc="C66E22DA" w:tentative="1">
      <w:start w:val="1"/>
      <w:numFmt w:val="bullet"/>
      <w:lvlText w:val="•"/>
      <w:lvlJc w:val="left"/>
      <w:pPr>
        <w:tabs>
          <w:tab w:val="num" w:pos="2160"/>
        </w:tabs>
        <w:ind w:left="2160" w:hanging="360"/>
      </w:pPr>
      <w:rPr>
        <w:rFonts w:ascii="Arial" w:hAnsi="Arial" w:hint="default"/>
      </w:rPr>
    </w:lvl>
    <w:lvl w:ilvl="3" w:tplc="85A6C1BE" w:tentative="1">
      <w:start w:val="1"/>
      <w:numFmt w:val="bullet"/>
      <w:lvlText w:val="•"/>
      <w:lvlJc w:val="left"/>
      <w:pPr>
        <w:tabs>
          <w:tab w:val="num" w:pos="2880"/>
        </w:tabs>
        <w:ind w:left="2880" w:hanging="360"/>
      </w:pPr>
      <w:rPr>
        <w:rFonts w:ascii="Arial" w:hAnsi="Arial" w:hint="default"/>
      </w:rPr>
    </w:lvl>
    <w:lvl w:ilvl="4" w:tplc="41BEA4F8" w:tentative="1">
      <w:start w:val="1"/>
      <w:numFmt w:val="bullet"/>
      <w:lvlText w:val="•"/>
      <w:lvlJc w:val="left"/>
      <w:pPr>
        <w:tabs>
          <w:tab w:val="num" w:pos="3600"/>
        </w:tabs>
        <w:ind w:left="3600" w:hanging="360"/>
      </w:pPr>
      <w:rPr>
        <w:rFonts w:ascii="Arial" w:hAnsi="Arial" w:hint="default"/>
      </w:rPr>
    </w:lvl>
    <w:lvl w:ilvl="5" w:tplc="2E18CB22" w:tentative="1">
      <w:start w:val="1"/>
      <w:numFmt w:val="bullet"/>
      <w:lvlText w:val="•"/>
      <w:lvlJc w:val="left"/>
      <w:pPr>
        <w:tabs>
          <w:tab w:val="num" w:pos="4320"/>
        </w:tabs>
        <w:ind w:left="4320" w:hanging="360"/>
      </w:pPr>
      <w:rPr>
        <w:rFonts w:ascii="Arial" w:hAnsi="Arial" w:hint="default"/>
      </w:rPr>
    </w:lvl>
    <w:lvl w:ilvl="6" w:tplc="7B247554" w:tentative="1">
      <w:start w:val="1"/>
      <w:numFmt w:val="bullet"/>
      <w:lvlText w:val="•"/>
      <w:lvlJc w:val="left"/>
      <w:pPr>
        <w:tabs>
          <w:tab w:val="num" w:pos="5040"/>
        </w:tabs>
        <w:ind w:left="5040" w:hanging="360"/>
      </w:pPr>
      <w:rPr>
        <w:rFonts w:ascii="Arial" w:hAnsi="Arial" w:hint="default"/>
      </w:rPr>
    </w:lvl>
    <w:lvl w:ilvl="7" w:tplc="A736494A" w:tentative="1">
      <w:start w:val="1"/>
      <w:numFmt w:val="bullet"/>
      <w:lvlText w:val="•"/>
      <w:lvlJc w:val="left"/>
      <w:pPr>
        <w:tabs>
          <w:tab w:val="num" w:pos="5760"/>
        </w:tabs>
        <w:ind w:left="5760" w:hanging="360"/>
      </w:pPr>
      <w:rPr>
        <w:rFonts w:ascii="Arial" w:hAnsi="Arial" w:hint="default"/>
      </w:rPr>
    </w:lvl>
    <w:lvl w:ilvl="8" w:tplc="EBC22B6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982085"/>
    <w:multiLevelType w:val="hybridMultilevel"/>
    <w:tmpl w:val="1BD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002883">
    <w:abstractNumId w:val="16"/>
  </w:num>
  <w:num w:numId="2" w16cid:durableId="1207986377">
    <w:abstractNumId w:val="9"/>
  </w:num>
  <w:num w:numId="3" w16cid:durableId="1188257495">
    <w:abstractNumId w:val="29"/>
  </w:num>
  <w:num w:numId="4" w16cid:durableId="1428043463">
    <w:abstractNumId w:val="21"/>
  </w:num>
  <w:num w:numId="5" w16cid:durableId="784421942">
    <w:abstractNumId w:val="5"/>
  </w:num>
  <w:num w:numId="6" w16cid:durableId="1124349468">
    <w:abstractNumId w:val="15"/>
  </w:num>
  <w:num w:numId="7" w16cid:durableId="195196619">
    <w:abstractNumId w:val="17"/>
  </w:num>
  <w:num w:numId="8" w16cid:durableId="1696153832">
    <w:abstractNumId w:val="20"/>
  </w:num>
  <w:num w:numId="9" w16cid:durableId="1656453447">
    <w:abstractNumId w:val="23"/>
  </w:num>
  <w:num w:numId="10" w16cid:durableId="1497913949">
    <w:abstractNumId w:val="19"/>
  </w:num>
  <w:num w:numId="11" w16cid:durableId="855114718">
    <w:abstractNumId w:val="26"/>
  </w:num>
  <w:num w:numId="12" w16cid:durableId="1170750652">
    <w:abstractNumId w:val="10"/>
  </w:num>
  <w:num w:numId="13" w16cid:durableId="2115830965">
    <w:abstractNumId w:val="28"/>
  </w:num>
  <w:num w:numId="14" w16cid:durableId="775633911">
    <w:abstractNumId w:val="1"/>
  </w:num>
  <w:num w:numId="15" w16cid:durableId="1802652400">
    <w:abstractNumId w:val="13"/>
  </w:num>
  <w:num w:numId="16" w16cid:durableId="1233471062">
    <w:abstractNumId w:val="30"/>
  </w:num>
  <w:num w:numId="17" w16cid:durableId="1931891604">
    <w:abstractNumId w:val="27"/>
  </w:num>
  <w:num w:numId="18" w16cid:durableId="1113357692">
    <w:abstractNumId w:val="8"/>
  </w:num>
  <w:num w:numId="19" w16cid:durableId="1553610929">
    <w:abstractNumId w:val="24"/>
  </w:num>
  <w:num w:numId="20" w16cid:durableId="363214062">
    <w:abstractNumId w:val="2"/>
  </w:num>
  <w:num w:numId="21" w16cid:durableId="1589121431">
    <w:abstractNumId w:val="14"/>
  </w:num>
  <w:num w:numId="22" w16cid:durableId="1684355875">
    <w:abstractNumId w:val="31"/>
  </w:num>
  <w:num w:numId="23" w16cid:durableId="1970671780">
    <w:abstractNumId w:val="12"/>
  </w:num>
  <w:num w:numId="24" w16cid:durableId="610892586">
    <w:abstractNumId w:val="18"/>
  </w:num>
  <w:num w:numId="25" w16cid:durableId="53086363">
    <w:abstractNumId w:val="25"/>
  </w:num>
  <w:num w:numId="26" w16cid:durableId="1229414928">
    <w:abstractNumId w:val="6"/>
  </w:num>
  <w:num w:numId="27" w16cid:durableId="390275936">
    <w:abstractNumId w:val="3"/>
  </w:num>
  <w:num w:numId="28" w16cid:durableId="444807880">
    <w:abstractNumId w:val="4"/>
  </w:num>
  <w:num w:numId="29" w16cid:durableId="132332093">
    <w:abstractNumId w:val="7"/>
  </w:num>
  <w:num w:numId="30" w16cid:durableId="1836801591">
    <w:abstractNumId w:val="11"/>
  </w:num>
  <w:num w:numId="31" w16cid:durableId="1340814073">
    <w:abstractNumId w:val="32"/>
  </w:num>
  <w:num w:numId="32" w16cid:durableId="1962835200">
    <w:abstractNumId w:val="0"/>
  </w:num>
  <w:num w:numId="33" w16cid:durableId="186439538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9D4"/>
    <w:rsid w:val="00013A8A"/>
    <w:rsid w:val="00013D83"/>
    <w:rsid w:val="00014843"/>
    <w:rsid w:val="00014B65"/>
    <w:rsid w:val="000177D6"/>
    <w:rsid w:val="00020187"/>
    <w:rsid w:val="000203CF"/>
    <w:rsid w:val="00021AAF"/>
    <w:rsid w:val="00022C27"/>
    <w:rsid w:val="0002333D"/>
    <w:rsid w:val="000235A3"/>
    <w:rsid w:val="00034AA0"/>
    <w:rsid w:val="00040C63"/>
    <w:rsid w:val="00040FD3"/>
    <w:rsid w:val="00041618"/>
    <w:rsid w:val="00041C09"/>
    <w:rsid w:val="00041D96"/>
    <w:rsid w:val="00044850"/>
    <w:rsid w:val="00045E6C"/>
    <w:rsid w:val="000467B4"/>
    <w:rsid w:val="00047A07"/>
    <w:rsid w:val="000519B6"/>
    <w:rsid w:val="00051EF1"/>
    <w:rsid w:val="00052CEF"/>
    <w:rsid w:val="00054E0D"/>
    <w:rsid w:val="00055509"/>
    <w:rsid w:val="00056A84"/>
    <w:rsid w:val="00057F29"/>
    <w:rsid w:val="00061291"/>
    <w:rsid w:val="00063D7E"/>
    <w:rsid w:val="0006546B"/>
    <w:rsid w:val="00067824"/>
    <w:rsid w:val="00067F98"/>
    <w:rsid w:val="000713B6"/>
    <w:rsid w:val="00071B8C"/>
    <w:rsid w:val="000749FF"/>
    <w:rsid w:val="00075100"/>
    <w:rsid w:val="000761DD"/>
    <w:rsid w:val="00077D91"/>
    <w:rsid w:val="0008147B"/>
    <w:rsid w:val="00082FE8"/>
    <w:rsid w:val="00085F7D"/>
    <w:rsid w:val="00090828"/>
    <w:rsid w:val="0009211E"/>
    <w:rsid w:val="00093308"/>
    <w:rsid w:val="000A372F"/>
    <w:rsid w:val="000B04B4"/>
    <w:rsid w:val="000B071A"/>
    <w:rsid w:val="000B26B5"/>
    <w:rsid w:val="000C15E2"/>
    <w:rsid w:val="000C2D13"/>
    <w:rsid w:val="000C4567"/>
    <w:rsid w:val="000D0F30"/>
    <w:rsid w:val="000D2337"/>
    <w:rsid w:val="000D7AF2"/>
    <w:rsid w:val="000E31D0"/>
    <w:rsid w:val="000E46A6"/>
    <w:rsid w:val="000E6CED"/>
    <w:rsid w:val="000F0905"/>
    <w:rsid w:val="000F1744"/>
    <w:rsid w:val="000F1D32"/>
    <w:rsid w:val="000F3745"/>
    <w:rsid w:val="000F4B5B"/>
    <w:rsid w:val="000F6C74"/>
    <w:rsid w:val="000F7220"/>
    <w:rsid w:val="000F751A"/>
    <w:rsid w:val="001030EA"/>
    <w:rsid w:val="001049DE"/>
    <w:rsid w:val="00105245"/>
    <w:rsid w:val="00105ED9"/>
    <w:rsid w:val="00111AF1"/>
    <w:rsid w:val="001138A7"/>
    <w:rsid w:val="00115D16"/>
    <w:rsid w:val="00123773"/>
    <w:rsid w:val="001239B4"/>
    <w:rsid w:val="00123EBB"/>
    <w:rsid w:val="00125DA7"/>
    <w:rsid w:val="00130174"/>
    <w:rsid w:val="00132193"/>
    <w:rsid w:val="00133384"/>
    <w:rsid w:val="001345A6"/>
    <w:rsid w:val="00141E3D"/>
    <w:rsid w:val="00142721"/>
    <w:rsid w:val="00144C22"/>
    <w:rsid w:val="001636A7"/>
    <w:rsid w:val="001673FA"/>
    <w:rsid w:val="001723D6"/>
    <w:rsid w:val="001726AF"/>
    <w:rsid w:val="00174954"/>
    <w:rsid w:val="0017647C"/>
    <w:rsid w:val="0018129B"/>
    <w:rsid w:val="00181919"/>
    <w:rsid w:val="00185013"/>
    <w:rsid w:val="00187B86"/>
    <w:rsid w:val="00187E69"/>
    <w:rsid w:val="001922FF"/>
    <w:rsid w:val="001926D8"/>
    <w:rsid w:val="00192C90"/>
    <w:rsid w:val="00193A27"/>
    <w:rsid w:val="00194097"/>
    <w:rsid w:val="0019563B"/>
    <w:rsid w:val="0019609B"/>
    <w:rsid w:val="0019661B"/>
    <w:rsid w:val="00197132"/>
    <w:rsid w:val="00197B96"/>
    <w:rsid w:val="00197DE7"/>
    <w:rsid w:val="001A0BD7"/>
    <w:rsid w:val="001A210B"/>
    <w:rsid w:val="001B542E"/>
    <w:rsid w:val="001C1953"/>
    <w:rsid w:val="001C410F"/>
    <w:rsid w:val="001D1C42"/>
    <w:rsid w:val="001D1F7B"/>
    <w:rsid w:val="001D49D8"/>
    <w:rsid w:val="001D5D8F"/>
    <w:rsid w:val="001D63AD"/>
    <w:rsid w:val="001D7351"/>
    <w:rsid w:val="001E09CC"/>
    <w:rsid w:val="001E491D"/>
    <w:rsid w:val="001F0376"/>
    <w:rsid w:val="001F0884"/>
    <w:rsid w:val="001F1FAB"/>
    <w:rsid w:val="001F354E"/>
    <w:rsid w:val="00203538"/>
    <w:rsid w:val="00203690"/>
    <w:rsid w:val="00206BD9"/>
    <w:rsid w:val="00207642"/>
    <w:rsid w:val="00210485"/>
    <w:rsid w:val="00211B78"/>
    <w:rsid w:val="00211FD8"/>
    <w:rsid w:val="0022442D"/>
    <w:rsid w:val="002257E3"/>
    <w:rsid w:val="00231434"/>
    <w:rsid w:val="002362D2"/>
    <w:rsid w:val="00241509"/>
    <w:rsid w:val="0024344D"/>
    <w:rsid w:val="00243F1A"/>
    <w:rsid w:val="00251E91"/>
    <w:rsid w:val="002540EE"/>
    <w:rsid w:val="002543C4"/>
    <w:rsid w:val="00255FE6"/>
    <w:rsid w:val="00256A7F"/>
    <w:rsid w:val="0025711E"/>
    <w:rsid w:val="0026033C"/>
    <w:rsid w:val="002606B6"/>
    <w:rsid w:val="002669C6"/>
    <w:rsid w:val="0027264C"/>
    <w:rsid w:val="00274CA6"/>
    <w:rsid w:val="00275325"/>
    <w:rsid w:val="00277854"/>
    <w:rsid w:val="00280529"/>
    <w:rsid w:val="00281D29"/>
    <w:rsid w:val="00282213"/>
    <w:rsid w:val="00282682"/>
    <w:rsid w:val="0028589E"/>
    <w:rsid w:val="0029013E"/>
    <w:rsid w:val="00291EFC"/>
    <w:rsid w:val="0029202A"/>
    <w:rsid w:val="00293040"/>
    <w:rsid w:val="0029332D"/>
    <w:rsid w:val="00294290"/>
    <w:rsid w:val="00297CDF"/>
    <w:rsid w:val="002A4615"/>
    <w:rsid w:val="002A4DA7"/>
    <w:rsid w:val="002B0E56"/>
    <w:rsid w:val="002B4950"/>
    <w:rsid w:val="002B7C02"/>
    <w:rsid w:val="002C00F6"/>
    <w:rsid w:val="002C50DF"/>
    <w:rsid w:val="002D1804"/>
    <w:rsid w:val="002D4A78"/>
    <w:rsid w:val="002D60B8"/>
    <w:rsid w:val="002E2ECD"/>
    <w:rsid w:val="002E30D3"/>
    <w:rsid w:val="002F0422"/>
    <w:rsid w:val="002F1E3A"/>
    <w:rsid w:val="002F2F6F"/>
    <w:rsid w:val="002F4450"/>
    <w:rsid w:val="00301C3D"/>
    <w:rsid w:val="00301FE0"/>
    <w:rsid w:val="0030286D"/>
    <w:rsid w:val="003056D4"/>
    <w:rsid w:val="00310249"/>
    <w:rsid w:val="00310FBF"/>
    <w:rsid w:val="0031215D"/>
    <w:rsid w:val="00312C20"/>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7BA6"/>
    <w:rsid w:val="00350DD6"/>
    <w:rsid w:val="0035474C"/>
    <w:rsid w:val="0035573C"/>
    <w:rsid w:val="00355C7F"/>
    <w:rsid w:val="00365202"/>
    <w:rsid w:val="003707D5"/>
    <w:rsid w:val="00371971"/>
    <w:rsid w:val="003726C1"/>
    <w:rsid w:val="00373D1C"/>
    <w:rsid w:val="00374BC9"/>
    <w:rsid w:val="00381BE4"/>
    <w:rsid w:val="0038200A"/>
    <w:rsid w:val="003823FC"/>
    <w:rsid w:val="003904EB"/>
    <w:rsid w:val="00391379"/>
    <w:rsid w:val="00395CA7"/>
    <w:rsid w:val="00396F7D"/>
    <w:rsid w:val="003A3D86"/>
    <w:rsid w:val="003A7CFA"/>
    <w:rsid w:val="003B2B97"/>
    <w:rsid w:val="003B306E"/>
    <w:rsid w:val="003B7654"/>
    <w:rsid w:val="003D130F"/>
    <w:rsid w:val="003D4EAD"/>
    <w:rsid w:val="003D6DBC"/>
    <w:rsid w:val="003E2246"/>
    <w:rsid w:val="003E6B0D"/>
    <w:rsid w:val="003E76A4"/>
    <w:rsid w:val="003F3864"/>
    <w:rsid w:val="003F4CD9"/>
    <w:rsid w:val="003F5476"/>
    <w:rsid w:val="003F7933"/>
    <w:rsid w:val="004008DE"/>
    <w:rsid w:val="00401AE0"/>
    <w:rsid w:val="0040204F"/>
    <w:rsid w:val="004046FE"/>
    <w:rsid w:val="00406644"/>
    <w:rsid w:val="00410A15"/>
    <w:rsid w:val="0041100F"/>
    <w:rsid w:val="0041391B"/>
    <w:rsid w:val="00420463"/>
    <w:rsid w:val="004226EC"/>
    <w:rsid w:val="00423485"/>
    <w:rsid w:val="0042480B"/>
    <w:rsid w:val="00427458"/>
    <w:rsid w:val="00427799"/>
    <w:rsid w:val="00430F2E"/>
    <w:rsid w:val="00431185"/>
    <w:rsid w:val="00431F62"/>
    <w:rsid w:val="004359D2"/>
    <w:rsid w:val="00440CD1"/>
    <w:rsid w:val="0044156B"/>
    <w:rsid w:val="00447D1F"/>
    <w:rsid w:val="004618C6"/>
    <w:rsid w:val="00462D00"/>
    <w:rsid w:val="00463DB5"/>
    <w:rsid w:val="00465CF0"/>
    <w:rsid w:val="00471621"/>
    <w:rsid w:val="004719A8"/>
    <w:rsid w:val="00474441"/>
    <w:rsid w:val="0048168C"/>
    <w:rsid w:val="00487595"/>
    <w:rsid w:val="00491859"/>
    <w:rsid w:val="004937C8"/>
    <w:rsid w:val="00494D56"/>
    <w:rsid w:val="00496826"/>
    <w:rsid w:val="004A0D9E"/>
    <w:rsid w:val="004A1142"/>
    <w:rsid w:val="004A29EF"/>
    <w:rsid w:val="004A3050"/>
    <w:rsid w:val="004A61A8"/>
    <w:rsid w:val="004A7377"/>
    <w:rsid w:val="004B0787"/>
    <w:rsid w:val="004C12FB"/>
    <w:rsid w:val="004C1AFE"/>
    <w:rsid w:val="004C606C"/>
    <w:rsid w:val="004C79E1"/>
    <w:rsid w:val="004C7B32"/>
    <w:rsid w:val="004D03B6"/>
    <w:rsid w:val="004E0276"/>
    <w:rsid w:val="004E6FC4"/>
    <w:rsid w:val="004F0FA1"/>
    <w:rsid w:val="004F4B45"/>
    <w:rsid w:val="004F4C5A"/>
    <w:rsid w:val="004F6DBB"/>
    <w:rsid w:val="005003A6"/>
    <w:rsid w:val="00501CFE"/>
    <w:rsid w:val="00501E30"/>
    <w:rsid w:val="00505354"/>
    <w:rsid w:val="005066A4"/>
    <w:rsid w:val="005103D5"/>
    <w:rsid w:val="00511529"/>
    <w:rsid w:val="00512004"/>
    <w:rsid w:val="00522239"/>
    <w:rsid w:val="0052351F"/>
    <w:rsid w:val="0052424E"/>
    <w:rsid w:val="00527FAD"/>
    <w:rsid w:val="00530036"/>
    <w:rsid w:val="00532FE8"/>
    <w:rsid w:val="00533E2A"/>
    <w:rsid w:val="005442B8"/>
    <w:rsid w:val="00545437"/>
    <w:rsid w:val="00545A2F"/>
    <w:rsid w:val="0054618D"/>
    <w:rsid w:val="00546C60"/>
    <w:rsid w:val="00550328"/>
    <w:rsid w:val="00555A25"/>
    <w:rsid w:val="00555D0D"/>
    <w:rsid w:val="00560AA0"/>
    <w:rsid w:val="00571454"/>
    <w:rsid w:val="005738F7"/>
    <w:rsid w:val="00577736"/>
    <w:rsid w:val="0057776F"/>
    <w:rsid w:val="005829F5"/>
    <w:rsid w:val="00586B38"/>
    <w:rsid w:val="00587700"/>
    <w:rsid w:val="00590344"/>
    <w:rsid w:val="005935F6"/>
    <w:rsid w:val="00596E86"/>
    <w:rsid w:val="005A12F7"/>
    <w:rsid w:val="005A60D1"/>
    <w:rsid w:val="005B088A"/>
    <w:rsid w:val="005B2E9A"/>
    <w:rsid w:val="005B3E77"/>
    <w:rsid w:val="005B5815"/>
    <w:rsid w:val="005B618C"/>
    <w:rsid w:val="005C18D0"/>
    <w:rsid w:val="005C5364"/>
    <w:rsid w:val="005C56F5"/>
    <w:rsid w:val="005D454D"/>
    <w:rsid w:val="005D5E9B"/>
    <w:rsid w:val="005D6006"/>
    <w:rsid w:val="005D6B32"/>
    <w:rsid w:val="005E30D4"/>
    <w:rsid w:val="005E4C67"/>
    <w:rsid w:val="005E71B9"/>
    <w:rsid w:val="005F078A"/>
    <w:rsid w:val="005F3199"/>
    <w:rsid w:val="005F52D3"/>
    <w:rsid w:val="005F725E"/>
    <w:rsid w:val="00601F84"/>
    <w:rsid w:val="006045ED"/>
    <w:rsid w:val="00605480"/>
    <w:rsid w:val="00610F91"/>
    <w:rsid w:val="00613BBE"/>
    <w:rsid w:val="00616BDC"/>
    <w:rsid w:val="00617380"/>
    <w:rsid w:val="00622779"/>
    <w:rsid w:val="00623E5E"/>
    <w:rsid w:val="006277BF"/>
    <w:rsid w:val="00627E60"/>
    <w:rsid w:val="00630935"/>
    <w:rsid w:val="00632329"/>
    <w:rsid w:val="00640881"/>
    <w:rsid w:val="00640FC5"/>
    <w:rsid w:val="00643B86"/>
    <w:rsid w:val="0064432A"/>
    <w:rsid w:val="0064498C"/>
    <w:rsid w:val="00651F1C"/>
    <w:rsid w:val="00652C3C"/>
    <w:rsid w:val="00654D26"/>
    <w:rsid w:val="00654D83"/>
    <w:rsid w:val="00663596"/>
    <w:rsid w:val="006653D0"/>
    <w:rsid w:val="00665B3C"/>
    <w:rsid w:val="00671FBB"/>
    <w:rsid w:val="006726EA"/>
    <w:rsid w:val="006727FF"/>
    <w:rsid w:val="006766AB"/>
    <w:rsid w:val="00680DBA"/>
    <w:rsid w:val="00681B49"/>
    <w:rsid w:val="006843DF"/>
    <w:rsid w:val="00686A88"/>
    <w:rsid w:val="00687471"/>
    <w:rsid w:val="00691EBE"/>
    <w:rsid w:val="00693AFF"/>
    <w:rsid w:val="006A0DBC"/>
    <w:rsid w:val="006A3587"/>
    <w:rsid w:val="006A5B77"/>
    <w:rsid w:val="006B0D2E"/>
    <w:rsid w:val="006B102A"/>
    <w:rsid w:val="006B123C"/>
    <w:rsid w:val="006B45D7"/>
    <w:rsid w:val="006C0684"/>
    <w:rsid w:val="006C249B"/>
    <w:rsid w:val="006C32D8"/>
    <w:rsid w:val="006C4492"/>
    <w:rsid w:val="006C539B"/>
    <w:rsid w:val="006C6652"/>
    <w:rsid w:val="006C753D"/>
    <w:rsid w:val="006D02F9"/>
    <w:rsid w:val="006D0D7C"/>
    <w:rsid w:val="006D0EF1"/>
    <w:rsid w:val="006E06D3"/>
    <w:rsid w:val="006E2930"/>
    <w:rsid w:val="006E405C"/>
    <w:rsid w:val="006F42AD"/>
    <w:rsid w:val="006F5DE7"/>
    <w:rsid w:val="00712DEA"/>
    <w:rsid w:val="007131C6"/>
    <w:rsid w:val="00714FD7"/>
    <w:rsid w:val="00716BFE"/>
    <w:rsid w:val="0072154B"/>
    <w:rsid w:val="00724D5F"/>
    <w:rsid w:val="00727911"/>
    <w:rsid w:val="007308BF"/>
    <w:rsid w:val="00734057"/>
    <w:rsid w:val="00734F7B"/>
    <w:rsid w:val="00741FCD"/>
    <w:rsid w:val="007420C2"/>
    <w:rsid w:val="00744C68"/>
    <w:rsid w:val="00747369"/>
    <w:rsid w:val="0074757F"/>
    <w:rsid w:val="0076050D"/>
    <w:rsid w:val="00766C15"/>
    <w:rsid w:val="0077244F"/>
    <w:rsid w:val="00775FAA"/>
    <w:rsid w:val="00776E31"/>
    <w:rsid w:val="0078153A"/>
    <w:rsid w:val="0078513E"/>
    <w:rsid w:val="0079212B"/>
    <w:rsid w:val="007921F2"/>
    <w:rsid w:val="00794FB1"/>
    <w:rsid w:val="00795670"/>
    <w:rsid w:val="007969D8"/>
    <w:rsid w:val="007A275B"/>
    <w:rsid w:val="007A3EBB"/>
    <w:rsid w:val="007A5FCE"/>
    <w:rsid w:val="007A639C"/>
    <w:rsid w:val="007B29DE"/>
    <w:rsid w:val="007B54FB"/>
    <w:rsid w:val="007C39C4"/>
    <w:rsid w:val="007C51BA"/>
    <w:rsid w:val="007C5489"/>
    <w:rsid w:val="007C5DCC"/>
    <w:rsid w:val="007C69C1"/>
    <w:rsid w:val="007C79A2"/>
    <w:rsid w:val="007D1AAE"/>
    <w:rsid w:val="007D2AC6"/>
    <w:rsid w:val="007D306E"/>
    <w:rsid w:val="007D58AA"/>
    <w:rsid w:val="007D74A9"/>
    <w:rsid w:val="007E2B1F"/>
    <w:rsid w:val="007F0547"/>
    <w:rsid w:val="007F2716"/>
    <w:rsid w:val="007F4201"/>
    <w:rsid w:val="007F601A"/>
    <w:rsid w:val="007F69C9"/>
    <w:rsid w:val="007F7968"/>
    <w:rsid w:val="0080745E"/>
    <w:rsid w:val="00807C49"/>
    <w:rsid w:val="00811674"/>
    <w:rsid w:val="00813A0A"/>
    <w:rsid w:val="0081757A"/>
    <w:rsid w:val="008175A7"/>
    <w:rsid w:val="00820B6F"/>
    <w:rsid w:val="00824039"/>
    <w:rsid w:val="0082594D"/>
    <w:rsid w:val="008273F4"/>
    <w:rsid w:val="008369FA"/>
    <w:rsid w:val="00837D99"/>
    <w:rsid w:val="00840C38"/>
    <w:rsid w:val="008449F1"/>
    <w:rsid w:val="00845CEC"/>
    <w:rsid w:val="008462F5"/>
    <w:rsid w:val="0085306F"/>
    <w:rsid w:val="00857325"/>
    <w:rsid w:val="00862C5D"/>
    <w:rsid w:val="00863ECC"/>
    <w:rsid w:val="00865339"/>
    <w:rsid w:val="0086558E"/>
    <w:rsid w:val="008676CB"/>
    <w:rsid w:val="00867779"/>
    <w:rsid w:val="0087098B"/>
    <w:rsid w:val="008710D3"/>
    <w:rsid w:val="00871328"/>
    <w:rsid w:val="00872ACF"/>
    <w:rsid w:val="008746E3"/>
    <w:rsid w:val="00874791"/>
    <w:rsid w:val="0087537A"/>
    <w:rsid w:val="00877DE7"/>
    <w:rsid w:val="00881D6E"/>
    <w:rsid w:val="00883511"/>
    <w:rsid w:val="00886CAF"/>
    <w:rsid w:val="008873D7"/>
    <w:rsid w:val="0088781A"/>
    <w:rsid w:val="00887AB9"/>
    <w:rsid w:val="008903F1"/>
    <w:rsid w:val="0089340C"/>
    <w:rsid w:val="008A1AD4"/>
    <w:rsid w:val="008A605D"/>
    <w:rsid w:val="008B158C"/>
    <w:rsid w:val="008B37C1"/>
    <w:rsid w:val="008B633A"/>
    <w:rsid w:val="008B6989"/>
    <w:rsid w:val="008C0EE5"/>
    <w:rsid w:val="008C5278"/>
    <w:rsid w:val="008C62CA"/>
    <w:rsid w:val="008C7B17"/>
    <w:rsid w:val="008D10EE"/>
    <w:rsid w:val="008D27D1"/>
    <w:rsid w:val="008D3AF3"/>
    <w:rsid w:val="008D4E41"/>
    <w:rsid w:val="008D5CC6"/>
    <w:rsid w:val="008E12E6"/>
    <w:rsid w:val="008E23C8"/>
    <w:rsid w:val="008E4239"/>
    <w:rsid w:val="008E7143"/>
    <w:rsid w:val="008F19DA"/>
    <w:rsid w:val="008F2309"/>
    <w:rsid w:val="008F51E3"/>
    <w:rsid w:val="00902845"/>
    <w:rsid w:val="009032C2"/>
    <w:rsid w:val="00910CED"/>
    <w:rsid w:val="00910FD0"/>
    <w:rsid w:val="00913700"/>
    <w:rsid w:val="00914F82"/>
    <w:rsid w:val="00923C4F"/>
    <w:rsid w:val="00924ABE"/>
    <w:rsid w:val="00925D1E"/>
    <w:rsid w:val="00926508"/>
    <w:rsid w:val="0094333E"/>
    <w:rsid w:val="00954A32"/>
    <w:rsid w:val="0095517D"/>
    <w:rsid w:val="009577B5"/>
    <w:rsid w:val="00960491"/>
    <w:rsid w:val="009638C2"/>
    <w:rsid w:val="00967D1D"/>
    <w:rsid w:val="00971CB6"/>
    <w:rsid w:val="00972CB8"/>
    <w:rsid w:val="00974D87"/>
    <w:rsid w:val="00975BAC"/>
    <w:rsid w:val="00977AAA"/>
    <w:rsid w:val="00977F96"/>
    <w:rsid w:val="0098131A"/>
    <w:rsid w:val="0098339F"/>
    <w:rsid w:val="00984EF6"/>
    <w:rsid w:val="009902AE"/>
    <w:rsid w:val="00991E96"/>
    <w:rsid w:val="00997075"/>
    <w:rsid w:val="009A2950"/>
    <w:rsid w:val="009A2E8F"/>
    <w:rsid w:val="009A3D0F"/>
    <w:rsid w:val="009A56C5"/>
    <w:rsid w:val="009A6996"/>
    <w:rsid w:val="009A7AD4"/>
    <w:rsid w:val="009B0940"/>
    <w:rsid w:val="009B2924"/>
    <w:rsid w:val="009B4448"/>
    <w:rsid w:val="009B663F"/>
    <w:rsid w:val="009B66B3"/>
    <w:rsid w:val="009C0519"/>
    <w:rsid w:val="009C117C"/>
    <w:rsid w:val="009C1316"/>
    <w:rsid w:val="009C257B"/>
    <w:rsid w:val="009D19BE"/>
    <w:rsid w:val="009D5751"/>
    <w:rsid w:val="009D5C0F"/>
    <w:rsid w:val="009E0004"/>
    <w:rsid w:val="009E4943"/>
    <w:rsid w:val="009E5518"/>
    <w:rsid w:val="009E75C8"/>
    <w:rsid w:val="009F0903"/>
    <w:rsid w:val="00A035A0"/>
    <w:rsid w:val="00A03C01"/>
    <w:rsid w:val="00A03C99"/>
    <w:rsid w:val="00A06EF7"/>
    <w:rsid w:val="00A07C2F"/>
    <w:rsid w:val="00A109D0"/>
    <w:rsid w:val="00A12E16"/>
    <w:rsid w:val="00A178A5"/>
    <w:rsid w:val="00A22E37"/>
    <w:rsid w:val="00A2459F"/>
    <w:rsid w:val="00A2698D"/>
    <w:rsid w:val="00A33C6D"/>
    <w:rsid w:val="00A34F62"/>
    <w:rsid w:val="00A3692A"/>
    <w:rsid w:val="00A423C6"/>
    <w:rsid w:val="00A449E2"/>
    <w:rsid w:val="00A4630A"/>
    <w:rsid w:val="00A51726"/>
    <w:rsid w:val="00A51A65"/>
    <w:rsid w:val="00A51F41"/>
    <w:rsid w:val="00A556E7"/>
    <w:rsid w:val="00A561BE"/>
    <w:rsid w:val="00A56A97"/>
    <w:rsid w:val="00A62582"/>
    <w:rsid w:val="00A632D1"/>
    <w:rsid w:val="00A64162"/>
    <w:rsid w:val="00A65903"/>
    <w:rsid w:val="00A67B68"/>
    <w:rsid w:val="00A705E9"/>
    <w:rsid w:val="00A7113B"/>
    <w:rsid w:val="00A72324"/>
    <w:rsid w:val="00A7249A"/>
    <w:rsid w:val="00A730B1"/>
    <w:rsid w:val="00A75F3B"/>
    <w:rsid w:val="00A76961"/>
    <w:rsid w:val="00A76F68"/>
    <w:rsid w:val="00A8049E"/>
    <w:rsid w:val="00A84E3D"/>
    <w:rsid w:val="00A8672F"/>
    <w:rsid w:val="00A86E71"/>
    <w:rsid w:val="00A9142C"/>
    <w:rsid w:val="00A91FA8"/>
    <w:rsid w:val="00A92D8F"/>
    <w:rsid w:val="00A9476F"/>
    <w:rsid w:val="00A96374"/>
    <w:rsid w:val="00A9702F"/>
    <w:rsid w:val="00A972EB"/>
    <w:rsid w:val="00AB1B63"/>
    <w:rsid w:val="00AB248F"/>
    <w:rsid w:val="00AB60DA"/>
    <w:rsid w:val="00AB699A"/>
    <w:rsid w:val="00AB6B38"/>
    <w:rsid w:val="00AC40BA"/>
    <w:rsid w:val="00AC62E2"/>
    <w:rsid w:val="00AC6B87"/>
    <w:rsid w:val="00AC7BE2"/>
    <w:rsid w:val="00AD3BBE"/>
    <w:rsid w:val="00AD6458"/>
    <w:rsid w:val="00AE2BF4"/>
    <w:rsid w:val="00AE3D13"/>
    <w:rsid w:val="00AE5D53"/>
    <w:rsid w:val="00AE66DD"/>
    <w:rsid w:val="00AF6BFC"/>
    <w:rsid w:val="00AF6C1E"/>
    <w:rsid w:val="00B0010B"/>
    <w:rsid w:val="00B00655"/>
    <w:rsid w:val="00B017B3"/>
    <w:rsid w:val="00B0325A"/>
    <w:rsid w:val="00B109E3"/>
    <w:rsid w:val="00B13DA0"/>
    <w:rsid w:val="00B17B82"/>
    <w:rsid w:val="00B208CD"/>
    <w:rsid w:val="00B30CCE"/>
    <w:rsid w:val="00B323FC"/>
    <w:rsid w:val="00B33787"/>
    <w:rsid w:val="00B36E06"/>
    <w:rsid w:val="00B372E4"/>
    <w:rsid w:val="00B4375D"/>
    <w:rsid w:val="00B43AB6"/>
    <w:rsid w:val="00B44372"/>
    <w:rsid w:val="00B449BD"/>
    <w:rsid w:val="00B451BB"/>
    <w:rsid w:val="00B50F9A"/>
    <w:rsid w:val="00B53F97"/>
    <w:rsid w:val="00B546A2"/>
    <w:rsid w:val="00B6352F"/>
    <w:rsid w:val="00B63969"/>
    <w:rsid w:val="00B70268"/>
    <w:rsid w:val="00B7383A"/>
    <w:rsid w:val="00B74EEA"/>
    <w:rsid w:val="00B82A78"/>
    <w:rsid w:val="00B84C1F"/>
    <w:rsid w:val="00B92A6A"/>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EB7"/>
    <w:rsid w:val="00BF288B"/>
    <w:rsid w:val="00BF314D"/>
    <w:rsid w:val="00BF62D0"/>
    <w:rsid w:val="00C019A7"/>
    <w:rsid w:val="00C0211C"/>
    <w:rsid w:val="00C0384F"/>
    <w:rsid w:val="00C05705"/>
    <w:rsid w:val="00C05F05"/>
    <w:rsid w:val="00C10266"/>
    <w:rsid w:val="00C10D88"/>
    <w:rsid w:val="00C13CD9"/>
    <w:rsid w:val="00C2148C"/>
    <w:rsid w:val="00C2161D"/>
    <w:rsid w:val="00C226DF"/>
    <w:rsid w:val="00C234EB"/>
    <w:rsid w:val="00C240E9"/>
    <w:rsid w:val="00C316E1"/>
    <w:rsid w:val="00C348A5"/>
    <w:rsid w:val="00C37ABC"/>
    <w:rsid w:val="00C43189"/>
    <w:rsid w:val="00C44E71"/>
    <w:rsid w:val="00C52F20"/>
    <w:rsid w:val="00C53F84"/>
    <w:rsid w:val="00C6063D"/>
    <w:rsid w:val="00C614C3"/>
    <w:rsid w:val="00C61B33"/>
    <w:rsid w:val="00C62466"/>
    <w:rsid w:val="00C62E72"/>
    <w:rsid w:val="00C63505"/>
    <w:rsid w:val="00C65331"/>
    <w:rsid w:val="00C659A0"/>
    <w:rsid w:val="00C70E97"/>
    <w:rsid w:val="00C7482E"/>
    <w:rsid w:val="00C868E8"/>
    <w:rsid w:val="00C87059"/>
    <w:rsid w:val="00C87F57"/>
    <w:rsid w:val="00C93655"/>
    <w:rsid w:val="00C97B83"/>
    <w:rsid w:val="00CA0A44"/>
    <w:rsid w:val="00CA2A81"/>
    <w:rsid w:val="00CA5B45"/>
    <w:rsid w:val="00CA5E44"/>
    <w:rsid w:val="00CA6AE8"/>
    <w:rsid w:val="00CA6F24"/>
    <w:rsid w:val="00CA77B9"/>
    <w:rsid w:val="00CB01E8"/>
    <w:rsid w:val="00CB0484"/>
    <w:rsid w:val="00CB571B"/>
    <w:rsid w:val="00CC04EB"/>
    <w:rsid w:val="00CC43D7"/>
    <w:rsid w:val="00CC5FDC"/>
    <w:rsid w:val="00CD2302"/>
    <w:rsid w:val="00CD4916"/>
    <w:rsid w:val="00CD67C9"/>
    <w:rsid w:val="00CD7631"/>
    <w:rsid w:val="00CE1E1D"/>
    <w:rsid w:val="00CE3EF0"/>
    <w:rsid w:val="00CE501D"/>
    <w:rsid w:val="00CE5AF5"/>
    <w:rsid w:val="00CE5E8F"/>
    <w:rsid w:val="00CF1356"/>
    <w:rsid w:val="00CF199C"/>
    <w:rsid w:val="00CF1CD0"/>
    <w:rsid w:val="00CF55A5"/>
    <w:rsid w:val="00D012B0"/>
    <w:rsid w:val="00D01981"/>
    <w:rsid w:val="00D02047"/>
    <w:rsid w:val="00D05520"/>
    <w:rsid w:val="00D05CD6"/>
    <w:rsid w:val="00D1030F"/>
    <w:rsid w:val="00D105C8"/>
    <w:rsid w:val="00D1715A"/>
    <w:rsid w:val="00D1751A"/>
    <w:rsid w:val="00D234B0"/>
    <w:rsid w:val="00D24BD8"/>
    <w:rsid w:val="00D262A0"/>
    <w:rsid w:val="00D279B5"/>
    <w:rsid w:val="00D30132"/>
    <w:rsid w:val="00D33E1D"/>
    <w:rsid w:val="00D34E00"/>
    <w:rsid w:val="00D35123"/>
    <w:rsid w:val="00D35229"/>
    <w:rsid w:val="00D3580A"/>
    <w:rsid w:val="00D35C0F"/>
    <w:rsid w:val="00D4227F"/>
    <w:rsid w:val="00D427F6"/>
    <w:rsid w:val="00D43F50"/>
    <w:rsid w:val="00D502EC"/>
    <w:rsid w:val="00D5182C"/>
    <w:rsid w:val="00D51CCE"/>
    <w:rsid w:val="00D53E07"/>
    <w:rsid w:val="00D61004"/>
    <w:rsid w:val="00D64A3A"/>
    <w:rsid w:val="00D7077C"/>
    <w:rsid w:val="00D71D69"/>
    <w:rsid w:val="00D75F1C"/>
    <w:rsid w:val="00D77391"/>
    <w:rsid w:val="00D85BDE"/>
    <w:rsid w:val="00D87890"/>
    <w:rsid w:val="00D928CB"/>
    <w:rsid w:val="00DA5CE3"/>
    <w:rsid w:val="00DA6185"/>
    <w:rsid w:val="00DA62E0"/>
    <w:rsid w:val="00DB09C3"/>
    <w:rsid w:val="00DB2DE5"/>
    <w:rsid w:val="00DB71BC"/>
    <w:rsid w:val="00DC0809"/>
    <w:rsid w:val="00DC2478"/>
    <w:rsid w:val="00DC38A3"/>
    <w:rsid w:val="00DC4C6E"/>
    <w:rsid w:val="00DD3092"/>
    <w:rsid w:val="00DD62CE"/>
    <w:rsid w:val="00DD6B37"/>
    <w:rsid w:val="00DD7CDD"/>
    <w:rsid w:val="00DE054F"/>
    <w:rsid w:val="00DE5E56"/>
    <w:rsid w:val="00DF4525"/>
    <w:rsid w:val="00DF6EAE"/>
    <w:rsid w:val="00E01B3E"/>
    <w:rsid w:val="00E0548C"/>
    <w:rsid w:val="00E07F40"/>
    <w:rsid w:val="00E141B6"/>
    <w:rsid w:val="00E15554"/>
    <w:rsid w:val="00E20099"/>
    <w:rsid w:val="00E2193B"/>
    <w:rsid w:val="00E24099"/>
    <w:rsid w:val="00E256D7"/>
    <w:rsid w:val="00E25D2B"/>
    <w:rsid w:val="00E334A7"/>
    <w:rsid w:val="00E3775F"/>
    <w:rsid w:val="00E37D42"/>
    <w:rsid w:val="00E4077D"/>
    <w:rsid w:val="00E407A3"/>
    <w:rsid w:val="00E42DAE"/>
    <w:rsid w:val="00E43F62"/>
    <w:rsid w:val="00E45727"/>
    <w:rsid w:val="00E45A86"/>
    <w:rsid w:val="00E4665F"/>
    <w:rsid w:val="00E476F4"/>
    <w:rsid w:val="00E50B9D"/>
    <w:rsid w:val="00E5315B"/>
    <w:rsid w:val="00E53D53"/>
    <w:rsid w:val="00E548E6"/>
    <w:rsid w:val="00E56771"/>
    <w:rsid w:val="00E6349A"/>
    <w:rsid w:val="00E651E6"/>
    <w:rsid w:val="00E8009C"/>
    <w:rsid w:val="00E81555"/>
    <w:rsid w:val="00E8248C"/>
    <w:rsid w:val="00E85903"/>
    <w:rsid w:val="00E9060C"/>
    <w:rsid w:val="00E906CF"/>
    <w:rsid w:val="00E92BC5"/>
    <w:rsid w:val="00E95485"/>
    <w:rsid w:val="00E95A4D"/>
    <w:rsid w:val="00E962B4"/>
    <w:rsid w:val="00EA3FC2"/>
    <w:rsid w:val="00EA49DE"/>
    <w:rsid w:val="00EA4A1F"/>
    <w:rsid w:val="00EB27D1"/>
    <w:rsid w:val="00EB33FE"/>
    <w:rsid w:val="00ED0144"/>
    <w:rsid w:val="00ED170A"/>
    <w:rsid w:val="00ED1C2A"/>
    <w:rsid w:val="00ED4DB7"/>
    <w:rsid w:val="00ED50A4"/>
    <w:rsid w:val="00ED56DC"/>
    <w:rsid w:val="00ED6FB3"/>
    <w:rsid w:val="00EE10B1"/>
    <w:rsid w:val="00EE2E89"/>
    <w:rsid w:val="00EF08C6"/>
    <w:rsid w:val="00EF39D1"/>
    <w:rsid w:val="00F127A9"/>
    <w:rsid w:val="00F158D7"/>
    <w:rsid w:val="00F25092"/>
    <w:rsid w:val="00F25A52"/>
    <w:rsid w:val="00F26483"/>
    <w:rsid w:val="00F32A97"/>
    <w:rsid w:val="00F34AC3"/>
    <w:rsid w:val="00F36FE2"/>
    <w:rsid w:val="00F379C3"/>
    <w:rsid w:val="00F42B66"/>
    <w:rsid w:val="00F447A0"/>
    <w:rsid w:val="00F46EB8"/>
    <w:rsid w:val="00F50457"/>
    <w:rsid w:val="00F5476A"/>
    <w:rsid w:val="00F57805"/>
    <w:rsid w:val="00F63152"/>
    <w:rsid w:val="00F63536"/>
    <w:rsid w:val="00F64EEB"/>
    <w:rsid w:val="00F67E0B"/>
    <w:rsid w:val="00F72E6A"/>
    <w:rsid w:val="00F75528"/>
    <w:rsid w:val="00F77C66"/>
    <w:rsid w:val="00F82AEC"/>
    <w:rsid w:val="00F833F5"/>
    <w:rsid w:val="00F91B92"/>
    <w:rsid w:val="00F91F29"/>
    <w:rsid w:val="00F9544D"/>
    <w:rsid w:val="00F96043"/>
    <w:rsid w:val="00F96077"/>
    <w:rsid w:val="00F9641E"/>
    <w:rsid w:val="00F97DA9"/>
    <w:rsid w:val="00FA1608"/>
    <w:rsid w:val="00FA1B41"/>
    <w:rsid w:val="00FA1BE4"/>
    <w:rsid w:val="00FA26DA"/>
    <w:rsid w:val="00FA5BC2"/>
    <w:rsid w:val="00FA76B7"/>
    <w:rsid w:val="00FB43C6"/>
    <w:rsid w:val="00FB4C6E"/>
    <w:rsid w:val="00FB53E1"/>
    <w:rsid w:val="00FB64C4"/>
    <w:rsid w:val="00FC0F3C"/>
    <w:rsid w:val="00FC0F94"/>
    <w:rsid w:val="00FC471D"/>
    <w:rsid w:val="00FC5C28"/>
    <w:rsid w:val="00FD0F5F"/>
    <w:rsid w:val="00FD768A"/>
    <w:rsid w:val="00FE15BE"/>
    <w:rsid w:val="00FE16FC"/>
    <w:rsid w:val="00FE1FAF"/>
    <w:rsid w:val="00FE446C"/>
    <w:rsid w:val="00FE5928"/>
    <w:rsid w:val="00FE6595"/>
    <w:rsid w:val="00FE776E"/>
    <w:rsid w:val="00FF0EBE"/>
    <w:rsid w:val="00FF1B3E"/>
    <w:rsid w:val="00FF5EC6"/>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40DF856A-9EC2-4B35-B855-E2FEBCB1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uiPriority w:val="9"/>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semiHidden/>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semiHidden/>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semiHidden/>
    <w:rsid w:val="0095517D"/>
    <w:rPr>
      <w:rFonts w:ascii="Times New Roman" w:eastAsia="Times New Roman" w:hAnsi="Times New Roman"/>
      <w:lang w:val="x-none" w:eastAsia="x-none"/>
    </w:rPr>
  </w:style>
  <w:style w:type="paragraph" w:styleId="FootnoteText">
    <w:name w:val="footnote text"/>
    <w:basedOn w:val="Normal"/>
    <w:link w:val="FootnoteTextChar"/>
    <w:uiPriority w:val="99"/>
    <w:semiHidden/>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semiHidden/>
    <w:rsid w:val="0095517D"/>
    <w:rPr>
      <w:rFonts w:ascii="Times New Roman" w:hAnsi="Times New Roman" w:cs="Arial"/>
    </w:rPr>
  </w:style>
  <w:style w:type="paragraph" w:customStyle="1" w:styleId="EndnoteText1">
    <w:name w:val="Endnote Text1"/>
    <w:basedOn w:val="Normal"/>
    <w:next w:val="EndnoteText"/>
    <w:uiPriority w:val="99"/>
    <w:semiHidden/>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semiHidden/>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semiHidden/>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semiHidden/>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g">
    <w:name w:val="Fg"/>
    <w:basedOn w:val="Normal"/>
    <w:qFormat/>
    <w:rsid w:val="00365202"/>
    <w:pPr>
      <w:spacing w:after="200" w:line="360" w:lineRule="auto"/>
      <w:jc w:val="center"/>
    </w:pPr>
    <w:rPr>
      <w:rFonts w:ascii="Times New Roman" w:eastAsiaTheme="minorHAnsi" w:hAnsi="Times New Roman"/>
      <w:sz w:val="24"/>
      <w:szCs w:val="24"/>
      <w:lang w:val="en-US" w:eastAsia="en-US"/>
    </w:rPr>
  </w:style>
  <w:style w:type="paragraph" w:customStyle="1" w:styleId="Tab">
    <w:name w:val="Tab"/>
    <w:basedOn w:val="Normal"/>
    <w:qFormat/>
    <w:rsid w:val="00365202"/>
    <w:pPr>
      <w:spacing w:line="360" w:lineRule="auto"/>
    </w:pPr>
    <w:rPr>
      <w:rFonts w:ascii="Times New Roman" w:eastAsia="Yu Gothic Light"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ncbi.nlm.nih.gov/pubmed/?term=Firdaus%20RF%5BAuthor%5D&amp;cauthor=true&amp;cauthor_uid=2372146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o.org/docrep/003/w3732e/w3732e06.htm" TargetMode="External"/><Relationship Id="rId17" Type="http://schemas.openxmlformats.org/officeDocument/2006/relationships/hyperlink" Target="https://www.ncbi.nlm.nih.gov/pubmed/?term=Sanudin%20N%5BAuthor%5D&amp;cauthor=true&amp;cauthor_uid=23721464" TargetMode="External"/><Relationship Id="rId2" Type="http://schemas.openxmlformats.org/officeDocument/2006/relationships/numbering" Target="numbering.xml"/><Relationship Id="rId16" Type="http://schemas.openxmlformats.org/officeDocument/2006/relationships/hyperlink" Target="https://www.ncbi.nlm.nih.gov/pubmed/?term=Mukai%20Y%5BAuthor%5D&amp;cauthor=true&amp;cauthor_uid=2372146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ao.org/fishery" TargetMode="External"/><Relationship Id="rId10" Type="http://schemas.openxmlformats.org/officeDocument/2006/relationships/footer" Target="footer1.xml"/><Relationship Id="rId19" Type="http://schemas.openxmlformats.org/officeDocument/2006/relationships/hyperlink" Target="https://www.ncbi.nlm.nih.gov/pubmed/?term=Saad%20S%5BAuthor%5D&amp;cauthor=true&amp;cauthor_uid=23721464" TargetMode="External"/><Relationship Id="rId4" Type="http://schemas.openxmlformats.org/officeDocument/2006/relationships/settings" Target="settings.xml"/><Relationship Id="rId9" Type="http://schemas.openxmlformats.org/officeDocument/2006/relationships/hyperlink" Target="mailto:adane.melaku@yahoo.com" TargetMode="Externa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674D8-B9A3-4F88-B30A-FF89B304B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12</Pages>
  <Words>3744</Words>
  <Characters>29021</Characters>
  <Application>Microsoft Office Word</Application>
  <DocSecurity>0</DocSecurity>
  <PresentationFormat/>
  <Lines>5804</Lines>
  <Paragraphs>2520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30245</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268</cp:revision>
  <cp:lastPrinted>2025-02-05T11:50:00Z</cp:lastPrinted>
  <dcterms:created xsi:type="dcterms:W3CDTF">2024-08-31T07:48:00Z</dcterms:created>
  <dcterms:modified xsi:type="dcterms:W3CDTF">2025-03-07T07:48:00Z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