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8" w:type="dxa"/>
        <w:tblBorders>
          <w:bottom w:val="single" w:sz="36" w:space="0" w:color="auto"/>
          <w:insideH w:val="single" w:sz="2" w:space="0" w:color="auto"/>
        </w:tblBorders>
        <w:tblCellMar>
          <w:left w:w="0" w:type="dxa"/>
          <w:right w:w="0" w:type="dxa"/>
        </w:tblCellMar>
        <w:tblLook w:val="04A0" w:firstRow="1" w:lastRow="0" w:firstColumn="1" w:lastColumn="0" w:noHBand="0" w:noVBand="1"/>
      </w:tblPr>
      <w:tblGrid>
        <w:gridCol w:w="3118"/>
        <w:gridCol w:w="7350"/>
      </w:tblGrid>
      <w:tr w:rsidR="00D83850" w:rsidRPr="00DF613C" w14:paraId="762E9C02" w14:textId="77777777" w:rsidTr="00C24306">
        <w:trPr>
          <w:trHeight w:val="972"/>
        </w:trPr>
        <w:tc>
          <w:tcPr>
            <w:tcW w:w="3410" w:type="dxa"/>
            <w:tcBorders>
              <w:top w:val="nil"/>
              <w:left w:val="nil"/>
              <w:bottom w:val="single" w:sz="36" w:space="0" w:color="auto"/>
              <w:right w:val="nil"/>
            </w:tcBorders>
            <w:hideMark/>
          </w:tcPr>
          <w:p w14:paraId="71A14195" w14:textId="77777777" w:rsidR="00D83850" w:rsidRPr="00DF613C" w:rsidRDefault="00D83850" w:rsidP="00360444">
            <w:pPr>
              <w:jc w:val="both"/>
              <w:rPr>
                <w:rFonts w:ascii="Times New Roman" w:hAnsi="Times New Roman"/>
                <w:b/>
                <w:i/>
                <w:sz w:val="22"/>
                <w:szCs w:val="22"/>
                <w:lang w:eastAsia="zh-CN"/>
              </w:rPr>
            </w:pPr>
            <w:r w:rsidRPr="00DF613C">
              <w:rPr>
                <w:rFonts w:ascii="Times New Roman" w:hAnsi="Times New Roman"/>
                <w:noProof/>
                <w:sz w:val="22"/>
                <w:szCs w:val="22"/>
                <w:lang w:val="en-US" w:eastAsia="en-US"/>
              </w:rPr>
              <w:drawing>
                <wp:inline distT="0" distB="0" distL="0" distR="0" wp14:anchorId="7523F70E" wp14:editId="7FC9B75D">
                  <wp:extent cx="612000" cy="544496"/>
                  <wp:effectExtent l="0" t="0" r="0" b="8255"/>
                  <wp:docPr id="1802784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544496"/>
                          </a:xfrm>
                          <a:prstGeom prst="rect">
                            <a:avLst/>
                          </a:prstGeom>
                          <a:noFill/>
                          <a:ln>
                            <a:noFill/>
                          </a:ln>
                        </pic:spPr>
                      </pic:pic>
                    </a:graphicData>
                  </a:graphic>
                </wp:inline>
              </w:drawing>
            </w:r>
            <w:r w:rsidRPr="00DF613C">
              <w:rPr>
                <w:rFonts w:ascii="Times New Roman" w:hAnsi="Times New Roman"/>
                <w:b/>
                <w:i/>
                <w:sz w:val="22"/>
                <w:szCs w:val="22"/>
                <w:lang w:val="en-US" w:eastAsia="zh-CN"/>
              </w:rPr>
              <w:t>BNJAR</w:t>
            </w:r>
          </w:p>
        </w:tc>
        <w:tc>
          <w:tcPr>
            <w:tcW w:w="7058" w:type="dxa"/>
            <w:tcBorders>
              <w:top w:val="nil"/>
              <w:left w:val="nil"/>
              <w:bottom w:val="single" w:sz="36" w:space="0" w:color="auto"/>
              <w:right w:val="nil"/>
            </w:tcBorders>
            <w:hideMark/>
          </w:tcPr>
          <w:p w14:paraId="525DDE86" w14:textId="77777777" w:rsidR="00D83850" w:rsidRPr="00DF613C" w:rsidRDefault="00D83850" w:rsidP="00360444">
            <w:pPr>
              <w:jc w:val="both"/>
              <w:rPr>
                <w:rFonts w:ascii="Times New Roman" w:hAnsi="Times New Roman"/>
                <w:b/>
                <w:i/>
                <w:sz w:val="22"/>
                <w:szCs w:val="22"/>
                <w:lang w:eastAsia="zh-CN"/>
              </w:rPr>
            </w:pPr>
            <w:r w:rsidRPr="00DF613C">
              <w:rPr>
                <w:rFonts w:ascii="Times New Roman" w:hAnsi="Times New Roman"/>
                <w:noProof/>
                <w:sz w:val="22"/>
                <w:szCs w:val="22"/>
                <w:lang w:val="en-US" w:eastAsia="en-US"/>
              </w:rPr>
              <mc:AlternateContent>
                <mc:Choice Requires="wps">
                  <w:drawing>
                    <wp:inline distT="0" distB="0" distL="0" distR="0" wp14:anchorId="788C5E8C" wp14:editId="5F034C0D">
                      <wp:extent cx="4665345" cy="776605"/>
                      <wp:effectExtent l="0" t="0" r="1905" b="44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776605"/>
                              </a:xfrm>
                              <a:prstGeom prst="rect">
                                <a:avLst/>
                              </a:prstGeom>
                              <a:solidFill>
                                <a:schemeClr val="accent1">
                                  <a:lumMod val="60000"/>
                                  <a:lumOff val="40000"/>
                                </a:schemeClr>
                              </a:solidFill>
                              <a:ln>
                                <a:noFill/>
                              </a:ln>
                            </wps:spPr>
                            <wps:txbx>
                              <w:txbxContent>
                                <w:p w14:paraId="2D6A8445" w14:textId="77777777" w:rsidR="00C42A03" w:rsidRDefault="00C42A03" w:rsidP="00C42A03">
                                  <w:pPr>
                                    <w:jc w:val="center"/>
                                    <w:rPr>
                                      <w:rFonts w:ascii="Times New Roman" w:hAnsi="Times New Roman"/>
                                      <w:b/>
                                      <w:bCs/>
                                      <w:sz w:val="24"/>
                                      <w:szCs w:val="24"/>
                                      <w:lang w:val="en-US"/>
                                    </w:rPr>
                                  </w:pPr>
                                  <w:r>
                                    <w:rPr>
                                      <w:rFonts w:ascii="Times New Roman" w:hAnsi="Times New Roman"/>
                                      <w:b/>
                                      <w:bCs/>
                                      <w:sz w:val="24"/>
                                      <w:szCs w:val="24"/>
                                    </w:rPr>
                                    <w:t>Blue Nile Journal of Agricultural Research (BNJAR)</w:t>
                                  </w:r>
                                </w:p>
                                <w:p w14:paraId="6A611312" w14:textId="15019AC2" w:rsidR="00C42A03" w:rsidRDefault="00C42A03" w:rsidP="00C42A03">
                                  <w:pPr>
                                    <w:jc w:val="center"/>
                                    <w:rPr>
                                      <w:rFonts w:ascii="Times New Roman" w:hAnsi="Times New Roman"/>
                                      <w:color w:val="000000"/>
                                      <w:sz w:val="24"/>
                                      <w:szCs w:val="24"/>
                                      <w:lang w:val="en-US" w:eastAsia="en-US" w:bidi="fa-IR"/>
                                    </w:rPr>
                                  </w:pPr>
                                  <w:r>
                                    <w:rPr>
                                      <w:rStyle w:val="Emphasis"/>
                                      <w:color w:val="000000"/>
                                      <w:sz w:val="24"/>
                                      <w:szCs w:val="24"/>
                                      <w:lang w:val="en-US" w:eastAsia="en-US" w:bidi="fa-IR"/>
                                    </w:rPr>
                                    <w:t>Vol. 5,</w:t>
                                  </w:r>
                                  <w:r w:rsidR="005B5691">
                                    <w:rPr>
                                      <w:rStyle w:val="Emphasis"/>
                                      <w:color w:val="000000"/>
                                      <w:sz w:val="24"/>
                                      <w:szCs w:val="24"/>
                                      <w:lang w:val="en-US" w:eastAsia="en-US" w:bidi="fa-IR"/>
                                    </w:rPr>
                                    <w:t xml:space="preserve"> Issue 2, December, 2022, pp. </w:t>
                                  </w:r>
                                  <w:r w:rsidR="00D23A20">
                                    <w:rPr>
                                      <w:rStyle w:val="Emphasis"/>
                                      <w:color w:val="000000"/>
                                      <w:sz w:val="24"/>
                                      <w:szCs w:val="24"/>
                                      <w:lang w:val="en-US" w:eastAsia="en-US" w:bidi="fa-IR"/>
                                    </w:rPr>
                                    <w:t>51</w:t>
                                  </w:r>
                                  <w:r>
                                    <w:rPr>
                                      <w:rStyle w:val="Emphasis"/>
                                      <w:color w:val="000000"/>
                                      <w:sz w:val="24"/>
                                      <w:szCs w:val="24"/>
                                      <w:lang w:val="en-US" w:eastAsia="en-US" w:bidi="fa-IR"/>
                                    </w:rPr>
                                    <w:t>-</w:t>
                                  </w:r>
                                  <w:r w:rsidR="003F1FF9">
                                    <w:rPr>
                                      <w:rStyle w:val="Emphasis"/>
                                      <w:color w:val="000000"/>
                                      <w:sz w:val="24"/>
                                      <w:szCs w:val="24"/>
                                      <w:lang w:val="en-US" w:eastAsia="en-US" w:bidi="fa-IR"/>
                                    </w:rPr>
                                    <w:t>63</w:t>
                                  </w:r>
                                </w:p>
                                <w:p w14:paraId="292588BC" w14:textId="77777777" w:rsidR="00C42A03" w:rsidRDefault="00C42A03" w:rsidP="00C42A03">
                                  <w:pPr>
                                    <w:jc w:val="center"/>
                                    <w:rPr>
                                      <w:rFonts w:ascii="Times New Roman" w:hAnsi="Times New Roman"/>
                                      <w:color w:val="000000"/>
                                      <w:sz w:val="24"/>
                                      <w:szCs w:val="24"/>
                                      <w:lang w:val="en-US" w:eastAsia="en-US" w:bidi="fa-IR"/>
                                    </w:rPr>
                                  </w:pPr>
                                </w:p>
                                <w:p w14:paraId="1FFB5D0E" w14:textId="77777777" w:rsidR="00C42A03" w:rsidRDefault="00C42A03" w:rsidP="00C42A03">
                                  <w:pPr>
                                    <w:jc w:val="center"/>
                                    <w:rPr>
                                      <w:rFonts w:ascii="Times New Roman" w:hAnsi="Times New Roman"/>
                                      <w:sz w:val="24"/>
                                      <w:szCs w:val="24"/>
                                      <w:lang w:val="en-US"/>
                                    </w:rPr>
                                  </w:pPr>
                                  <w:r>
                                    <w:rPr>
                                      <w:rFonts w:ascii="Times New Roman" w:hAnsi="Times New Roman"/>
                                      <w:color w:val="000000"/>
                                      <w:sz w:val="24"/>
                                      <w:szCs w:val="24"/>
                                      <w:lang w:val="en-US" w:eastAsia="en-US" w:bidi="fa-IR"/>
                                    </w:rPr>
                                    <w:t>Journal homepage:</w:t>
                                  </w:r>
                                  <w:r>
                                    <w:rPr>
                                      <w:rFonts w:ascii="Times New Roman" w:hAnsi="Times New Roman"/>
                                      <w:sz w:val="24"/>
                                      <w:szCs w:val="24"/>
                                      <w:lang w:val="en-US"/>
                                    </w:rPr>
                                    <w:t xml:space="preserve"> https://www.arari.gov.et/index_bnjar.php</w:t>
                                  </w:r>
                                </w:p>
                                <w:p w14:paraId="1432883D" w14:textId="77777777" w:rsidR="007E4007" w:rsidRDefault="007E4007" w:rsidP="00D83850">
                                  <w:pPr>
                                    <w:jc w:val="center"/>
                                    <w:rPr>
                                      <w:rFonts w:ascii="Arial" w:hAnsi="Arial" w:cs="Arial"/>
                                      <w:b/>
                                      <w:bCs/>
                                      <w:i/>
                                      <w:iCs/>
                                      <w:sz w:val="16"/>
                                      <w:szCs w:val="16"/>
                                      <w:lang w:val="en-US"/>
                                    </w:rPr>
                                  </w:pPr>
                                </w:p>
                              </w:txbxContent>
                            </wps:txbx>
                            <wps:bodyPr rot="0" vert="horz" wrap="square" lIns="91440" tIns="45720" rIns="91440" bIns="45720" anchor="t" anchorCtr="0" upright="1">
                              <a:noAutofit/>
                            </wps:bodyPr>
                          </wps:wsp>
                        </a:graphicData>
                      </a:graphic>
                    </wp:inline>
                  </w:drawing>
                </mc:Choice>
                <mc:Fallback>
                  <w:pict>
                    <v:shapetype w14:anchorId="788C5E8C" id="_x0000_t202" coordsize="21600,21600" o:spt="202" path="m,l,21600r21600,l21600,xe">
                      <v:stroke joinstyle="miter"/>
                      <v:path gradientshapeok="t" o:connecttype="rect"/>
                    </v:shapetype>
                    <v:shape id="文本框 7" o:spid="_x0000_s1026" type="#_x0000_t202" style="width:367.35pt;height:6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" fillcolor="#9cc2e5 [1940]" stroked="f">
                      <v:textbox>
                        <w:txbxContent>
                          <w:p w14:paraId="2D6A8445" w14:textId="77777777" w:rsidR="00C42A03" w:rsidRDefault="00C42A03" w:rsidP="00C42A03">
                            <w:pPr>
                              <w:jc w:val="center"/>
                              <w:rPr>
                                <w:rFonts w:ascii="Times New Roman" w:hAnsi="Times New Roman"/>
                                <w:b/>
                                <w:bCs/>
                                <w:sz w:val="24"/>
                                <w:szCs w:val="24"/>
                                <w:lang w:val="en-US"/>
                              </w:rPr>
                            </w:pPr>
                            <w:r>
                              <w:rPr>
                                <w:rFonts w:ascii="Times New Roman" w:hAnsi="Times New Roman"/>
                                <w:b/>
                                <w:bCs/>
                                <w:sz w:val="24"/>
                                <w:szCs w:val="24"/>
                              </w:rPr>
                              <w:t>Blue Nile Journal of Agricultural Research (BNJAR)</w:t>
                            </w:r>
                          </w:p>
                          <w:p w14:paraId="6A611312" w14:textId="15019AC2" w:rsidR="00C42A03" w:rsidRDefault="00C42A03" w:rsidP="00C42A03">
                            <w:pPr>
                              <w:jc w:val="center"/>
                              <w:rPr>
                                <w:rFonts w:ascii="Times New Roman" w:hAnsi="Times New Roman"/>
                                <w:color w:val="000000"/>
                                <w:sz w:val="24"/>
                                <w:szCs w:val="24"/>
                                <w:lang w:val="en-US" w:eastAsia="en-US" w:bidi="fa-IR"/>
                              </w:rPr>
                            </w:pPr>
                            <w:r>
                              <w:rPr>
                                <w:rStyle w:val="Emphasis"/>
                                <w:color w:val="000000"/>
                                <w:sz w:val="24"/>
                                <w:szCs w:val="24"/>
                                <w:lang w:val="en-US" w:eastAsia="en-US" w:bidi="fa-IR"/>
                              </w:rPr>
                              <w:t>Vol. 5,</w:t>
                            </w:r>
                            <w:r w:rsidR="005B5691">
                              <w:rPr>
                                <w:rStyle w:val="Emphasis"/>
                                <w:color w:val="000000"/>
                                <w:sz w:val="24"/>
                                <w:szCs w:val="24"/>
                                <w:lang w:val="en-US" w:eastAsia="en-US" w:bidi="fa-IR"/>
                              </w:rPr>
                              <w:t xml:space="preserve"> Issue 2, December, 2022, pp. </w:t>
                            </w:r>
                            <w:r w:rsidR="00D23A20">
                              <w:rPr>
                                <w:rStyle w:val="Emphasis"/>
                                <w:color w:val="000000"/>
                                <w:sz w:val="24"/>
                                <w:szCs w:val="24"/>
                                <w:lang w:val="en-US" w:eastAsia="en-US" w:bidi="fa-IR"/>
                              </w:rPr>
                              <w:t>51</w:t>
                            </w:r>
                            <w:r>
                              <w:rPr>
                                <w:rStyle w:val="Emphasis"/>
                                <w:color w:val="000000"/>
                                <w:sz w:val="24"/>
                                <w:szCs w:val="24"/>
                                <w:lang w:val="en-US" w:eastAsia="en-US" w:bidi="fa-IR"/>
                              </w:rPr>
                              <w:t>-</w:t>
                            </w:r>
                            <w:r w:rsidR="003F1FF9">
                              <w:rPr>
                                <w:rStyle w:val="Emphasis"/>
                                <w:color w:val="000000"/>
                                <w:sz w:val="24"/>
                                <w:szCs w:val="24"/>
                                <w:lang w:val="en-US" w:eastAsia="en-US" w:bidi="fa-IR"/>
                              </w:rPr>
                              <w:t>63</w:t>
                            </w:r>
                          </w:p>
                          <w:p w14:paraId="292588BC" w14:textId="77777777" w:rsidR="00C42A03" w:rsidRDefault="00C42A03" w:rsidP="00C42A03">
                            <w:pPr>
                              <w:jc w:val="center"/>
                              <w:rPr>
                                <w:rFonts w:ascii="Times New Roman" w:hAnsi="Times New Roman"/>
                                <w:color w:val="000000"/>
                                <w:sz w:val="24"/>
                                <w:szCs w:val="24"/>
                                <w:lang w:val="en-US" w:eastAsia="en-US" w:bidi="fa-IR"/>
                              </w:rPr>
                            </w:pPr>
                          </w:p>
                          <w:p w14:paraId="1FFB5D0E" w14:textId="77777777" w:rsidR="00C42A03" w:rsidRDefault="00C42A03" w:rsidP="00C42A03">
                            <w:pPr>
                              <w:jc w:val="center"/>
                              <w:rPr>
                                <w:rFonts w:ascii="Times New Roman" w:hAnsi="Times New Roman"/>
                                <w:sz w:val="24"/>
                                <w:szCs w:val="24"/>
                                <w:lang w:val="en-US"/>
                              </w:rPr>
                            </w:pPr>
                            <w:r>
                              <w:rPr>
                                <w:rFonts w:ascii="Times New Roman" w:hAnsi="Times New Roman"/>
                                <w:color w:val="000000"/>
                                <w:sz w:val="24"/>
                                <w:szCs w:val="24"/>
                                <w:lang w:val="en-US" w:eastAsia="en-US" w:bidi="fa-IR"/>
                              </w:rPr>
                              <w:t>Journal homepage:</w:t>
                            </w:r>
                            <w:r>
                              <w:rPr>
                                <w:rFonts w:ascii="Times New Roman" w:hAnsi="Times New Roman"/>
                                <w:sz w:val="24"/>
                                <w:szCs w:val="24"/>
                                <w:lang w:val="en-US"/>
                              </w:rPr>
                              <w:t xml:space="preserve"> https://www.arari.gov.et/index_bnjar.php</w:t>
                            </w:r>
                          </w:p>
                          <w:p w14:paraId="1432883D" w14:textId="77777777" w:rsidR="007E4007" w:rsidRDefault="007E4007" w:rsidP="00D83850">
                            <w:pPr>
                              <w:jc w:val="center"/>
                              <w:rPr>
                                <w:rFonts w:ascii="Arial" w:hAnsi="Arial" w:cs="Arial"/>
                                <w:b/>
                                <w:bCs/>
                                <w:i/>
                                <w:iCs/>
                                <w:sz w:val="16"/>
                                <w:szCs w:val="16"/>
                                <w:lang w:val="en-US"/>
                              </w:rPr>
                            </w:pPr>
                          </w:p>
                        </w:txbxContent>
                      </v:textbox>
                      <w10:anchorlock/>
                    </v:shape>
                  </w:pict>
                </mc:Fallback>
              </mc:AlternateContent>
            </w:r>
          </w:p>
        </w:tc>
      </w:tr>
    </w:tbl>
    <w:p w14:paraId="4B5E2A15" w14:textId="77777777" w:rsidR="00006DAD" w:rsidRPr="00DF613C" w:rsidRDefault="00006DAD" w:rsidP="00360444">
      <w:pPr>
        <w:tabs>
          <w:tab w:val="left" w:pos="9500"/>
        </w:tabs>
        <w:jc w:val="both"/>
        <w:rPr>
          <w:rFonts w:ascii="Times New Roman" w:hAnsi="Times New Roman"/>
          <w:b/>
          <w:i/>
          <w:sz w:val="22"/>
          <w:szCs w:val="22"/>
          <w:lang w:eastAsia="zh-CN"/>
        </w:rPr>
      </w:pPr>
      <w:r w:rsidRPr="00DF613C">
        <w:rPr>
          <w:rFonts w:ascii="Times New Roman" w:hAnsi="Times New Roman"/>
          <w:b/>
          <w:i/>
          <w:sz w:val="22"/>
          <w:szCs w:val="22"/>
          <w:lang w:eastAsia="zh-CN"/>
        </w:rPr>
        <w:tab/>
      </w:r>
    </w:p>
    <w:tbl>
      <w:tblPr>
        <w:tblW w:w="10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7"/>
        <w:gridCol w:w="270"/>
        <w:gridCol w:w="5846"/>
        <w:gridCol w:w="727"/>
      </w:tblGrid>
      <w:tr w:rsidR="00006DAD" w:rsidRPr="00DF613C" w14:paraId="0172C78E" w14:textId="77777777" w:rsidTr="002A4615">
        <w:trPr>
          <w:trHeight w:val="253"/>
        </w:trPr>
        <w:tc>
          <w:tcPr>
            <w:tcW w:w="9713" w:type="dxa"/>
            <w:gridSpan w:val="3"/>
            <w:tcBorders>
              <w:bottom w:val="nil"/>
              <w:right w:val="nil"/>
            </w:tcBorders>
          </w:tcPr>
          <w:p w14:paraId="7681358D" w14:textId="6BBB90A3" w:rsidR="00824D59" w:rsidRPr="00DF613C" w:rsidRDefault="002558DF" w:rsidP="00360444">
            <w:pPr>
              <w:keepNext/>
              <w:spacing w:before="240" w:after="60"/>
              <w:ind w:left="432"/>
              <w:jc w:val="both"/>
              <w:outlineLvl w:val="0"/>
              <w:rPr>
                <w:rFonts w:ascii="Times New Roman" w:eastAsia="Times New Roman" w:hAnsi="Times New Roman"/>
                <w:b/>
                <w:bCs/>
                <w:kern w:val="32"/>
                <w:sz w:val="22"/>
                <w:szCs w:val="22"/>
                <w:lang w:val="en-US" w:eastAsia="x-none"/>
              </w:rPr>
            </w:pPr>
            <w:bookmarkStart w:id="0" w:name="_Toc147315768"/>
            <w:r w:rsidRPr="00DF613C">
              <w:rPr>
                <w:rFonts w:ascii="Times New Roman" w:eastAsia="Times New Roman" w:hAnsi="Times New Roman"/>
                <w:b/>
                <w:bCs/>
                <w:kern w:val="32"/>
                <w:sz w:val="22"/>
                <w:szCs w:val="22"/>
                <w:lang w:val="x-none" w:eastAsia="x-none"/>
              </w:rPr>
              <w:t>Effects of Stocking Density on the Growth Performance and Production of Male Nile Tilapia (</w:t>
            </w:r>
            <w:r w:rsidRPr="00DF613C">
              <w:rPr>
                <w:rFonts w:ascii="Times New Roman" w:eastAsia="Times New Roman" w:hAnsi="Times New Roman"/>
                <w:b/>
                <w:bCs/>
                <w:i/>
                <w:iCs/>
                <w:kern w:val="32"/>
                <w:sz w:val="22"/>
                <w:szCs w:val="22"/>
                <w:lang w:val="x-none" w:eastAsia="x-none"/>
              </w:rPr>
              <w:t>Oreochromis Niloticus</w:t>
            </w:r>
            <w:r w:rsidRPr="00DF613C">
              <w:rPr>
                <w:rFonts w:ascii="Times New Roman" w:eastAsia="Times New Roman" w:hAnsi="Times New Roman"/>
                <w:b/>
                <w:bCs/>
                <w:kern w:val="32"/>
                <w:sz w:val="22"/>
                <w:szCs w:val="22"/>
                <w:lang w:val="x-none" w:eastAsia="x-none"/>
              </w:rPr>
              <w:t>) in Concrete Ponds Bahir Dar</w:t>
            </w:r>
            <w:r w:rsidRPr="00DF613C">
              <w:rPr>
                <w:rFonts w:ascii="Times New Roman" w:eastAsia="Times New Roman" w:hAnsi="Times New Roman"/>
                <w:b/>
                <w:bCs/>
                <w:kern w:val="32"/>
                <w:sz w:val="22"/>
                <w:szCs w:val="22"/>
                <w:lang w:eastAsia="x-none"/>
              </w:rPr>
              <w:t>,</w:t>
            </w:r>
            <w:r w:rsidRPr="00DF613C">
              <w:rPr>
                <w:rFonts w:ascii="Times New Roman" w:eastAsia="Times New Roman" w:hAnsi="Times New Roman"/>
                <w:b/>
                <w:bCs/>
                <w:kern w:val="32"/>
                <w:sz w:val="22"/>
                <w:szCs w:val="22"/>
                <w:lang w:val="x-none" w:eastAsia="x-none"/>
              </w:rPr>
              <w:t xml:space="preserve"> Ethiopia</w:t>
            </w:r>
            <w:bookmarkEnd w:id="0"/>
          </w:p>
        </w:tc>
        <w:tc>
          <w:tcPr>
            <w:tcW w:w="727" w:type="dxa"/>
            <w:tcBorders>
              <w:left w:val="nil"/>
              <w:bottom w:val="nil"/>
            </w:tcBorders>
          </w:tcPr>
          <w:p w14:paraId="55F05ED4" w14:textId="77777777" w:rsidR="00006DAD" w:rsidRPr="00DF613C" w:rsidRDefault="00006DAD" w:rsidP="00360444">
            <w:pPr>
              <w:jc w:val="both"/>
              <w:rPr>
                <w:rFonts w:ascii="Times New Roman" w:hAnsi="Times New Roman"/>
                <w:b/>
                <w:sz w:val="22"/>
                <w:szCs w:val="22"/>
                <w:lang w:val="en-US" w:eastAsia="zh-CN"/>
              </w:rPr>
            </w:pPr>
          </w:p>
        </w:tc>
      </w:tr>
      <w:tr w:rsidR="00867A19" w:rsidRPr="00DF613C" w14:paraId="0CDE813C" w14:textId="77777777" w:rsidTr="002A4615">
        <w:trPr>
          <w:trHeight w:val="661"/>
        </w:trPr>
        <w:tc>
          <w:tcPr>
            <w:tcW w:w="10440" w:type="dxa"/>
            <w:gridSpan w:val="4"/>
            <w:tcBorders>
              <w:top w:val="nil"/>
              <w:bottom w:val="single" w:sz="4" w:space="0" w:color="auto"/>
            </w:tcBorders>
          </w:tcPr>
          <w:p w14:paraId="2100EA42" w14:textId="77777777" w:rsidR="00BC34F5" w:rsidRPr="00DF613C" w:rsidRDefault="00BC34F5" w:rsidP="00360444">
            <w:pPr>
              <w:widowControl w:val="0"/>
              <w:autoSpaceDE w:val="0"/>
              <w:autoSpaceDN w:val="0"/>
              <w:spacing w:before="240"/>
              <w:jc w:val="both"/>
              <w:rPr>
                <w:rFonts w:ascii="Times New Roman" w:eastAsia="Times New Roman" w:hAnsi="Times New Roman"/>
                <w:bCs/>
                <w:i/>
                <w:color w:val="000000"/>
                <w:sz w:val="22"/>
                <w:szCs w:val="22"/>
              </w:rPr>
            </w:pPr>
            <w:r w:rsidRPr="00DF613C">
              <w:rPr>
                <w:rFonts w:ascii="Times New Roman" w:eastAsia="Times New Roman" w:hAnsi="Times New Roman"/>
                <w:bCs/>
                <w:i/>
                <w:color w:val="000000"/>
                <w:sz w:val="22"/>
                <w:szCs w:val="22"/>
              </w:rPr>
              <w:t>Haimanot Mulugeta</w:t>
            </w:r>
            <w:r w:rsidRPr="00DF613C">
              <w:rPr>
                <w:rFonts w:ascii="Times New Roman" w:eastAsia="Times New Roman" w:hAnsi="Times New Roman"/>
                <w:bCs/>
                <w:i/>
                <w:color w:val="000000"/>
                <w:sz w:val="22"/>
                <w:szCs w:val="22"/>
                <w:vertAlign w:val="superscript"/>
              </w:rPr>
              <w:t>1*</w:t>
            </w:r>
            <w:r w:rsidRPr="00DF613C">
              <w:rPr>
                <w:rFonts w:ascii="Times New Roman" w:eastAsia="Times New Roman" w:hAnsi="Times New Roman"/>
                <w:bCs/>
                <w:i/>
                <w:color w:val="000000"/>
                <w:sz w:val="22"/>
                <w:szCs w:val="22"/>
              </w:rPr>
              <w:t>, Alayu Yalew</w:t>
            </w:r>
            <w:r w:rsidRPr="00DF613C">
              <w:rPr>
                <w:rFonts w:ascii="Times New Roman" w:eastAsia="Times New Roman" w:hAnsi="Times New Roman"/>
                <w:bCs/>
                <w:i/>
                <w:color w:val="000000"/>
                <w:sz w:val="22"/>
                <w:szCs w:val="22"/>
                <w:vertAlign w:val="superscript"/>
              </w:rPr>
              <w:t>1</w:t>
            </w:r>
            <w:r w:rsidRPr="00DF613C">
              <w:rPr>
                <w:rFonts w:ascii="Times New Roman" w:eastAsia="Times New Roman" w:hAnsi="Times New Roman"/>
                <w:bCs/>
                <w:i/>
                <w:color w:val="000000"/>
                <w:sz w:val="22"/>
                <w:szCs w:val="22"/>
              </w:rPr>
              <w:t xml:space="preserve"> and Gashaw Tilahun</w:t>
            </w:r>
            <w:r w:rsidRPr="00DF613C">
              <w:rPr>
                <w:rFonts w:ascii="Times New Roman" w:eastAsia="Times New Roman" w:hAnsi="Times New Roman"/>
                <w:bCs/>
                <w:i/>
                <w:color w:val="000000"/>
                <w:sz w:val="22"/>
                <w:szCs w:val="22"/>
                <w:vertAlign w:val="superscript"/>
              </w:rPr>
              <w:t>2</w:t>
            </w:r>
          </w:p>
          <w:p w14:paraId="3B27A298" w14:textId="77777777" w:rsidR="00BC34F5" w:rsidRPr="00DF613C" w:rsidRDefault="00BC34F5" w:rsidP="00360444">
            <w:pPr>
              <w:contextualSpacing/>
              <w:jc w:val="both"/>
              <w:rPr>
                <w:rFonts w:ascii="Times New Roman" w:eastAsia="Times New Roman" w:hAnsi="Times New Roman"/>
                <w:bCs/>
                <w:i/>
                <w:color w:val="000000"/>
                <w:sz w:val="22"/>
                <w:szCs w:val="22"/>
              </w:rPr>
            </w:pPr>
            <w:r w:rsidRPr="00DF613C">
              <w:rPr>
                <w:rFonts w:ascii="Times New Roman" w:eastAsia="Times New Roman" w:hAnsi="Times New Roman"/>
                <w:bCs/>
                <w:i/>
                <w:color w:val="000000"/>
                <w:sz w:val="22"/>
                <w:szCs w:val="22"/>
                <w:vertAlign w:val="superscript"/>
              </w:rPr>
              <w:t>1</w:t>
            </w:r>
            <w:r w:rsidRPr="00DF613C">
              <w:rPr>
                <w:rFonts w:ascii="Times New Roman" w:eastAsia="Times New Roman" w:hAnsi="Times New Roman"/>
                <w:i/>
                <w:color w:val="000000"/>
                <w:sz w:val="22"/>
                <w:szCs w:val="22"/>
              </w:rPr>
              <w:t xml:space="preserve">Bahir Dar Fishery and Other Aquatic Life Research Center, P.O. Box 794, Bahir Dar, </w:t>
            </w:r>
            <w:r w:rsidRPr="00DF613C">
              <w:rPr>
                <w:rFonts w:ascii="Times New Roman" w:eastAsia="Times New Roman" w:hAnsi="Times New Roman"/>
                <w:bCs/>
                <w:i/>
                <w:color w:val="000000"/>
                <w:sz w:val="22"/>
                <w:szCs w:val="22"/>
              </w:rPr>
              <w:t xml:space="preserve">Ethiopia </w:t>
            </w:r>
          </w:p>
          <w:p w14:paraId="7A957908" w14:textId="77777777" w:rsidR="00BC34F5" w:rsidRPr="00DF613C" w:rsidRDefault="00BC34F5" w:rsidP="00360444">
            <w:pPr>
              <w:contextualSpacing/>
              <w:jc w:val="both"/>
              <w:rPr>
                <w:rFonts w:ascii="Times New Roman" w:eastAsia="Times New Roman" w:hAnsi="Times New Roman"/>
                <w:bCs/>
                <w:i/>
                <w:color w:val="000000"/>
                <w:sz w:val="22"/>
                <w:szCs w:val="22"/>
              </w:rPr>
            </w:pPr>
            <w:r w:rsidRPr="00DF613C">
              <w:rPr>
                <w:rFonts w:ascii="Times New Roman" w:eastAsia="Times New Roman" w:hAnsi="Times New Roman"/>
                <w:bCs/>
                <w:i/>
                <w:color w:val="000000"/>
                <w:sz w:val="22"/>
                <w:szCs w:val="22"/>
                <w:vertAlign w:val="superscript"/>
              </w:rPr>
              <w:t>2</w:t>
            </w:r>
            <w:r w:rsidRPr="00DF613C">
              <w:rPr>
                <w:rFonts w:ascii="Times New Roman" w:eastAsia="Times New Roman" w:hAnsi="Times New Roman"/>
                <w:bCs/>
                <w:i/>
                <w:color w:val="000000"/>
                <w:sz w:val="22"/>
                <w:szCs w:val="22"/>
              </w:rPr>
              <w:t>Bahir Dar Universities, Collage of Agriculture and Environmental Science, P.O. Box 5501</w:t>
            </w:r>
          </w:p>
          <w:p w14:paraId="5351239D" w14:textId="77777777" w:rsidR="00BC34F5" w:rsidRPr="00DF613C" w:rsidRDefault="00BC34F5" w:rsidP="00360444">
            <w:pPr>
              <w:contextualSpacing/>
              <w:jc w:val="both"/>
              <w:rPr>
                <w:rFonts w:ascii="Times New Roman" w:eastAsia="Times New Roman" w:hAnsi="Times New Roman"/>
                <w:i/>
                <w:sz w:val="22"/>
                <w:szCs w:val="22"/>
              </w:rPr>
            </w:pPr>
            <w:r w:rsidRPr="00DF613C">
              <w:rPr>
                <w:rFonts w:ascii="Times New Roman" w:eastAsia="Times New Roman" w:hAnsi="Times New Roman"/>
                <w:i/>
                <w:sz w:val="22"/>
                <w:szCs w:val="22"/>
              </w:rPr>
              <w:t xml:space="preserve">Corresponding author email: </w:t>
            </w:r>
            <w:hyperlink r:id="rId9" w:history="1">
              <w:r w:rsidRPr="00DF613C">
                <w:rPr>
                  <w:rFonts w:ascii="Times New Roman" w:eastAsia="Times New Roman" w:hAnsi="Times New Roman"/>
                  <w:i/>
                  <w:sz w:val="22"/>
                  <w:szCs w:val="22"/>
                </w:rPr>
                <w:t>haimanotm27@gmaill.com</w:t>
              </w:r>
            </w:hyperlink>
          </w:p>
          <w:p w14:paraId="33F659C4" w14:textId="17AD8C21" w:rsidR="00867A19" w:rsidRPr="00DF613C" w:rsidRDefault="00867A19" w:rsidP="00360444">
            <w:pPr>
              <w:spacing w:before="240" w:line="276" w:lineRule="auto"/>
              <w:contextualSpacing/>
              <w:jc w:val="both"/>
              <w:rPr>
                <w:rFonts w:ascii="Times New Roman" w:hAnsi="Times New Roman"/>
                <w:sz w:val="22"/>
                <w:szCs w:val="22"/>
                <w:vertAlign w:val="superscript"/>
                <w:lang w:val="en-US" w:eastAsia="zh-CN"/>
              </w:rPr>
            </w:pPr>
          </w:p>
        </w:tc>
      </w:tr>
      <w:tr w:rsidR="00006DAD" w:rsidRPr="00DF613C" w14:paraId="58960724" w14:textId="77777777" w:rsidTr="002A4615">
        <w:trPr>
          <w:trHeight w:val="661"/>
        </w:trPr>
        <w:tc>
          <w:tcPr>
            <w:tcW w:w="10440" w:type="dxa"/>
            <w:gridSpan w:val="4"/>
            <w:tcBorders>
              <w:top w:val="nil"/>
              <w:bottom w:val="single" w:sz="4" w:space="0" w:color="auto"/>
            </w:tcBorders>
          </w:tcPr>
          <w:p w14:paraId="4F1083C8" w14:textId="77777777" w:rsidR="00006DAD" w:rsidRPr="00DF613C" w:rsidRDefault="00006DAD" w:rsidP="00360444">
            <w:pPr>
              <w:jc w:val="both"/>
              <w:rPr>
                <w:rFonts w:ascii="Times New Roman" w:hAnsi="Times New Roman"/>
                <w:sz w:val="22"/>
                <w:szCs w:val="22"/>
                <w:vertAlign w:val="superscript"/>
                <w:lang w:val="en-US" w:eastAsia="zh-CN"/>
              </w:rPr>
            </w:pPr>
          </w:p>
          <w:p w14:paraId="479C7735" w14:textId="77777777" w:rsidR="00006DAD" w:rsidRPr="00DF613C" w:rsidRDefault="00006DAD" w:rsidP="00360444">
            <w:pPr>
              <w:jc w:val="both"/>
              <w:rPr>
                <w:rFonts w:ascii="Times New Roman" w:hAnsi="Times New Roman"/>
                <w:sz w:val="22"/>
                <w:szCs w:val="22"/>
                <w:lang w:val="en-US" w:eastAsia="zh-CN"/>
              </w:rPr>
            </w:pPr>
            <w:r w:rsidRPr="004847DA">
              <w:rPr>
                <w:rFonts w:ascii="Times New Roman" w:hAnsi="Times New Roman"/>
                <w:sz w:val="22"/>
                <w:szCs w:val="22"/>
                <w:lang w:val="en-US" w:eastAsia="zh-CN"/>
              </w:rPr>
              <w:t>Copyright: ©2024 The author(s). This article is published by BNJAR and is licensed under the CC BY 4.0 license (http://creativecommons.org/licenses/by/4.0/).</w:t>
            </w:r>
          </w:p>
        </w:tc>
      </w:tr>
      <w:tr w:rsidR="00006DAD" w:rsidRPr="00DF613C" w14:paraId="3D07A2C1" w14:textId="77777777" w:rsidTr="002A4615">
        <w:trPr>
          <w:trHeight w:val="152"/>
        </w:trPr>
        <w:tc>
          <w:tcPr>
            <w:tcW w:w="3597" w:type="dxa"/>
            <w:tcBorders>
              <w:left w:val="nil"/>
              <w:bottom w:val="single" w:sz="4" w:space="0" w:color="auto"/>
              <w:right w:val="nil"/>
            </w:tcBorders>
            <w:vAlign w:val="center"/>
          </w:tcPr>
          <w:p w14:paraId="31E0D830" w14:textId="143BDBF0" w:rsidR="00006DAD" w:rsidRPr="00DF613C" w:rsidRDefault="00006DAD" w:rsidP="00360444">
            <w:pPr>
              <w:jc w:val="both"/>
              <w:rPr>
                <w:rFonts w:ascii="Times New Roman" w:hAnsi="Times New Roman"/>
                <w:b/>
                <w:iCs/>
                <w:sz w:val="22"/>
                <w:szCs w:val="22"/>
                <w:lang w:eastAsia="zh-CN"/>
              </w:rPr>
            </w:pPr>
          </w:p>
        </w:tc>
        <w:tc>
          <w:tcPr>
            <w:tcW w:w="270" w:type="dxa"/>
            <w:tcBorders>
              <w:left w:val="nil"/>
              <w:bottom w:val="nil"/>
              <w:right w:val="nil"/>
            </w:tcBorders>
          </w:tcPr>
          <w:p w14:paraId="19D27CE9" w14:textId="77777777" w:rsidR="00006DAD" w:rsidRPr="00DF613C" w:rsidRDefault="00006DAD" w:rsidP="00360444">
            <w:pPr>
              <w:jc w:val="both"/>
              <w:rPr>
                <w:rFonts w:ascii="Times New Roman" w:hAnsi="Times New Roman"/>
                <w:b/>
                <w:iCs/>
                <w:sz w:val="22"/>
                <w:szCs w:val="22"/>
                <w:lang w:eastAsia="zh-CN"/>
              </w:rPr>
            </w:pPr>
          </w:p>
        </w:tc>
        <w:tc>
          <w:tcPr>
            <w:tcW w:w="6573" w:type="dxa"/>
            <w:gridSpan w:val="2"/>
            <w:tcBorders>
              <w:left w:val="nil"/>
              <w:bottom w:val="single" w:sz="4" w:space="0" w:color="auto"/>
              <w:right w:val="nil"/>
            </w:tcBorders>
            <w:vAlign w:val="center"/>
          </w:tcPr>
          <w:p w14:paraId="3B0EB775" w14:textId="77777777" w:rsidR="00006DAD" w:rsidRPr="00DF613C" w:rsidRDefault="00006DAD" w:rsidP="00360444">
            <w:pPr>
              <w:jc w:val="both"/>
              <w:rPr>
                <w:rFonts w:ascii="Times New Roman" w:hAnsi="Times New Roman"/>
                <w:b/>
                <w:iCs/>
                <w:sz w:val="22"/>
                <w:szCs w:val="22"/>
                <w:lang w:eastAsia="zh-CN"/>
              </w:rPr>
            </w:pPr>
          </w:p>
          <w:p w14:paraId="3EA0E1EA" w14:textId="77777777" w:rsidR="00006DAD" w:rsidRPr="00DF613C" w:rsidRDefault="00006DAD" w:rsidP="00360444">
            <w:pPr>
              <w:jc w:val="both"/>
              <w:rPr>
                <w:rFonts w:ascii="Times New Roman" w:hAnsi="Times New Roman"/>
                <w:b/>
                <w:iCs/>
                <w:sz w:val="22"/>
                <w:szCs w:val="22"/>
                <w:lang w:eastAsia="zh-CN"/>
              </w:rPr>
            </w:pPr>
            <w:r w:rsidRPr="00DF613C">
              <w:rPr>
                <w:rFonts w:ascii="Times New Roman" w:hAnsi="Times New Roman"/>
                <w:b/>
                <w:iCs/>
                <w:sz w:val="22"/>
                <w:szCs w:val="22"/>
                <w:lang w:eastAsia="zh-CN"/>
              </w:rPr>
              <w:t>ABSTRACT</w:t>
            </w:r>
          </w:p>
        </w:tc>
      </w:tr>
      <w:tr w:rsidR="00006DAD" w:rsidRPr="00DF613C" w14:paraId="050370C5" w14:textId="77777777" w:rsidTr="002B0203">
        <w:trPr>
          <w:trHeight w:val="50"/>
        </w:trPr>
        <w:tc>
          <w:tcPr>
            <w:tcW w:w="3597" w:type="dxa"/>
            <w:tcBorders>
              <w:left w:val="nil"/>
              <w:bottom w:val="nil"/>
              <w:right w:val="nil"/>
            </w:tcBorders>
            <w:vAlign w:val="center"/>
          </w:tcPr>
          <w:p w14:paraId="68FB8A4C" w14:textId="77777777" w:rsidR="00006DAD" w:rsidRPr="00DF613C" w:rsidRDefault="00006DAD" w:rsidP="00360444">
            <w:pPr>
              <w:jc w:val="both"/>
              <w:rPr>
                <w:rFonts w:ascii="Times New Roman" w:hAnsi="Times New Roman"/>
                <w:b/>
                <w:iCs/>
                <w:sz w:val="22"/>
                <w:szCs w:val="22"/>
                <w:lang w:eastAsia="zh-CN"/>
              </w:rPr>
            </w:pPr>
          </w:p>
        </w:tc>
        <w:tc>
          <w:tcPr>
            <w:tcW w:w="270" w:type="dxa"/>
            <w:tcBorders>
              <w:top w:val="nil"/>
              <w:left w:val="nil"/>
              <w:bottom w:val="nil"/>
              <w:right w:val="nil"/>
            </w:tcBorders>
          </w:tcPr>
          <w:p w14:paraId="14F56AB1" w14:textId="77777777" w:rsidR="00006DAD" w:rsidRPr="00DF613C" w:rsidRDefault="00006DAD" w:rsidP="00360444">
            <w:pPr>
              <w:jc w:val="both"/>
              <w:rPr>
                <w:rFonts w:ascii="Times New Roman" w:hAnsi="Times New Roman"/>
                <w:b/>
                <w:iCs/>
                <w:sz w:val="22"/>
                <w:szCs w:val="22"/>
                <w:lang w:eastAsia="zh-CN"/>
              </w:rPr>
            </w:pPr>
          </w:p>
        </w:tc>
        <w:tc>
          <w:tcPr>
            <w:tcW w:w="6573" w:type="dxa"/>
            <w:gridSpan w:val="2"/>
            <w:tcBorders>
              <w:left w:val="nil"/>
              <w:bottom w:val="nil"/>
              <w:right w:val="nil"/>
            </w:tcBorders>
            <w:vAlign w:val="center"/>
          </w:tcPr>
          <w:p w14:paraId="260ABD0D" w14:textId="77777777" w:rsidR="00006DAD" w:rsidRPr="00DF613C" w:rsidRDefault="00006DAD" w:rsidP="00360444">
            <w:pPr>
              <w:jc w:val="both"/>
              <w:rPr>
                <w:rFonts w:ascii="Times New Roman" w:hAnsi="Times New Roman"/>
                <w:b/>
                <w:iCs/>
                <w:sz w:val="22"/>
                <w:szCs w:val="22"/>
                <w:lang w:eastAsia="zh-CN"/>
              </w:rPr>
            </w:pPr>
          </w:p>
        </w:tc>
      </w:tr>
      <w:tr w:rsidR="00006DAD" w:rsidRPr="00DF613C" w14:paraId="6F38BE60" w14:textId="77777777" w:rsidTr="002A4615">
        <w:trPr>
          <w:trHeight w:val="441"/>
        </w:trPr>
        <w:tc>
          <w:tcPr>
            <w:tcW w:w="3597" w:type="dxa"/>
            <w:tcBorders>
              <w:top w:val="nil"/>
              <w:right w:val="nil"/>
            </w:tcBorders>
          </w:tcPr>
          <w:p w14:paraId="3B9BAF08" w14:textId="24F9DB63" w:rsidR="00FC3072" w:rsidRPr="00DF613C" w:rsidRDefault="003F26C3" w:rsidP="00360444">
            <w:pPr>
              <w:jc w:val="both"/>
              <w:rPr>
                <w:rFonts w:ascii="Times New Roman" w:hAnsi="Times New Roman"/>
                <w:b/>
                <w:iCs/>
                <w:sz w:val="22"/>
                <w:szCs w:val="22"/>
                <w:lang w:val="en-US" w:eastAsia="zh-CN"/>
              </w:rPr>
            </w:pPr>
            <w:r w:rsidRPr="00DF613C">
              <w:rPr>
                <w:rFonts w:ascii="Times New Roman" w:hAnsi="Times New Roman"/>
                <w:b/>
                <w:iCs/>
                <w:sz w:val="22"/>
                <w:szCs w:val="22"/>
                <w:lang w:val="en-US" w:eastAsia="zh-CN"/>
              </w:rPr>
              <w:t xml:space="preserve">Received: </w:t>
            </w:r>
            <w:r w:rsidRPr="004847DA">
              <w:rPr>
                <w:rFonts w:ascii="Times New Roman" w:hAnsi="Times New Roman"/>
                <w:bCs/>
                <w:iCs/>
                <w:sz w:val="22"/>
                <w:szCs w:val="22"/>
                <w:lang w:val="en-US" w:eastAsia="zh-CN"/>
              </w:rPr>
              <w:t>August 6</w:t>
            </w:r>
            <w:r w:rsidR="00FC3072" w:rsidRPr="004847DA">
              <w:rPr>
                <w:rFonts w:ascii="Times New Roman" w:hAnsi="Times New Roman"/>
                <w:bCs/>
                <w:iCs/>
                <w:sz w:val="22"/>
                <w:szCs w:val="22"/>
                <w:lang w:val="en-US" w:eastAsia="zh-CN"/>
              </w:rPr>
              <w:t>, 2022</w:t>
            </w:r>
          </w:p>
          <w:p w14:paraId="5E96939B" w14:textId="701F24F8" w:rsidR="00FC3072" w:rsidRPr="00DF613C" w:rsidRDefault="003F26C3" w:rsidP="00360444">
            <w:pPr>
              <w:jc w:val="both"/>
              <w:rPr>
                <w:rFonts w:ascii="Times New Roman" w:hAnsi="Times New Roman"/>
                <w:iCs/>
                <w:sz w:val="22"/>
                <w:szCs w:val="22"/>
                <w:lang w:val="en-US" w:eastAsia="zh-CN"/>
              </w:rPr>
            </w:pPr>
            <w:r w:rsidRPr="00DF613C">
              <w:rPr>
                <w:rFonts w:ascii="Times New Roman" w:hAnsi="Times New Roman"/>
                <w:b/>
                <w:iCs/>
                <w:sz w:val="22"/>
                <w:szCs w:val="22"/>
                <w:lang w:val="en-US" w:eastAsia="zh-CN"/>
              </w:rPr>
              <w:t xml:space="preserve">Revised: </w:t>
            </w:r>
            <w:r w:rsidRPr="004847DA">
              <w:rPr>
                <w:rFonts w:ascii="Times New Roman" w:hAnsi="Times New Roman"/>
                <w:bCs/>
                <w:iCs/>
                <w:sz w:val="22"/>
                <w:szCs w:val="22"/>
                <w:lang w:val="en-US" w:eastAsia="zh-CN"/>
              </w:rPr>
              <w:t>November 27</w:t>
            </w:r>
            <w:r w:rsidR="00FC3072" w:rsidRPr="004847DA">
              <w:rPr>
                <w:rFonts w:ascii="Times New Roman" w:hAnsi="Times New Roman"/>
                <w:bCs/>
                <w:iCs/>
                <w:sz w:val="22"/>
                <w:szCs w:val="22"/>
                <w:lang w:val="en-US" w:eastAsia="zh-CN"/>
              </w:rPr>
              <w:t>, 2022</w:t>
            </w:r>
          </w:p>
          <w:p w14:paraId="51A98902" w14:textId="72D9E78F" w:rsidR="00FC3072" w:rsidRPr="00DF613C" w:rsidRDefault="00E26314" w:rsidP="00360444">
            <w:pPr>
              <w:jc w:val="both"/>
              <w:rPr>
                <w:rFonts w:ascii="Times New Roman" w:hAnsi="Times New Roman"/>
                <w:b/>
                <w:iCs/>
                <w:sz w:val="22"/>
                <w:szCs w:val="22"/>
                <w:lang w:val="en-US" w:eastAsia="zh-CN"/>
              </w:rPr>
            </w:pPr>
            <w:r w:rsidRPr="00DF613C">
              <w:rPr>
                <w:rFonts w:ascii="Times New Roman" w:hAnsi="Times New Roman"/>
                <w:b/>
                <w:iCs/>
                <w:sz w:val="22"/>
                <w:szCs w:val="22"/>
                <w:lang w:val="en-US" w:eastAsia="zh-CN"/>
              </w:rPr>
              <w:t xml:space="preserve">Accepted: </w:t>
            </w:r>
            <w:r w:rsidRPr="004847DA">
              <w:rPr>
                <w:rFonts w:ascii="Times New Roman" w:hAnsi="Times New Roman"/>
                <w:bCs/>
                <w:iCs/>
                <w:sz w:val="22"/>
                <w:szCs w:val="22"/>
                <w:lang w:val="en-US" w:eastAsia="zh-CN"/>
              </w:rPr>
              <w:t>December 14</w:t>
            </w:r>
            <w:r w:rsidR="00FC3072" w:rsidRPr="004847DA">
              <w:rPr>
                <w:rFonts w:ascii="Times New Roman" w:hAnsi="Times New Roman"/>
                <w:bCs/>
                <w:iCs/>
                <w:sz w:val="22"/>
                <w:szCs w:val="22"/>
                <w:lang w:val="en-US" w:eastAsia="zh-CN"/>
              </w:rPr>
              <w:t>, 2022</w:t>
            </w:r>
          </w:p>
          <w:p w14:paraId="6E414183" w14:textId="276CE523" w:rsidR="00006DAD" w:rsidRPr="00DF613C" w:rsidRDefault="00E26314" w:rsidP="00360444">
            <w:pPr>
              <w:jc w:val="both"/>
              <w:rPr>
                <w:rFonts w:ascii="Times New Roman" w:hAnsi="Times New Roman"/>
                <w:iCs/>
                <w:sz w:val="22"/>
                <w:szCs w:val="22"/>
                <w:lang w:val="en-US" w:eastAsia="zh-CN"/>
              </w:rPr>
            </w:pPr>
            <w:r w:rsidRPr="00DF613C">
              <w:rPr>
                <w:rFonts w:ascii="Times New Roman" w:hAnsi="Times New Roman"/>
                <w:b/>
                <w:iCs/>
                <w:sz w:val="22"/>
                <w:szCs w:val="22"/>
                <w:lang w:val="en-US" w:eastAsia="zh-CN"/>
              </w:rPr>
              <w:t xml:space="preserve">Available online: </w:t>
            </w:r>
            <w:r w:rsidRPr="004847DA">
              <w:rPr>
                <w:rFonts w:ascii="Times New Roman" w:hAnsi="Times New Roman"/>
                <w:bCs/>
                <w:iCs/>
                <w:sz w:val="22"/>
                <w:szCs w:val="22"/>
                <w:lang w:val="en-US" w:eastAsia="zh-CN"/>
              </w:rPr>
              <w:t>December 28</w:t>
            </w:r>
            <w:r w:rsidR="00FC3072" w:rsidRPr="004847DA">
              <w:rPr>
                <w:rFonts w:ascii="Times New Roman" w:hAnsi="Times New Roman"/>
                <w:bCs/>
                <w:iCs/>
                <w:sz w:val="22"/>
                <w:szCs w:val="22"/>
                <w:lang w:val="en-US" w:eastAsia="zh-CN"/>
              </w:rPr>
              <w:t>, 2022</w:t>
            </w:r>
          </w:p>
        </w:tc>
        <w:tc>
          <w:tcPr>
            <w:tcW w:w="270" w:type="dxa"/>
            <w:tcBorders>
              <w:top w:val="nil"/>
              <w:left w:val="nil"/>
              <w:bottom w:val="nil"/>
              <w:right w:val="nil"/>
            </w:tcBorders>
          </w:tcPr>
          <w:p w14:paraId="587B3B32" w14:textId="77777777" w:rsidR="00006DAD" w:rsidRPr="00DF613C" w:rsidRDefault="00006DAD" w:rsidP="00360444">
            <w:pPr>
              <w:jc w:val="both"/>
              <w:rPr>
                <w:rFonts w:ascii="Times New Roman" w:hAnsi="Times New Roman"/>
                <w:sz w:val="22"/>
                <w:szCs w:val="22"/>
                <w:lang w:val="en-US"/>
              </w:rPr>
            </w:pPr>
          </w:p>
        </w:tc>
        <w:tc>
          <w:tcPr>
            <w:tcW w:w="6573" w:type="dxa"/>
            <w:gridSpan w:val="2"/>
            <w:vMerge w:val="restart"/>
            <w:tcBorders>
              <w:top w:val="nil"/>
              <w:left w:val="nil"/>
            </w:tcBorders>
          </w:tcPr>
          <w:p w14:paraId="2230B2AC"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bookmarkStart w:id="1" w:name="_Hlk146181508"/>
            <w:r w:rsidRPr="00DF613C">
              <w:rPr>
                <w:rFonts w:ascii="Times New Roman" w:eastAsia="Times New Roman" w:hAnsi="Times New Roman"/>
                <w:color w:val="000000"/>
                <w:sz w:val="22"/>
                <w:szCs w:val="22"/>
              </w:rPr>
              <w:t xml:space="preserve">Stocking density is considered as one of the important factors that affect the growth and production of fish in aquaculture ponds. However, information related to the effect of stocking density on the growth performance and production of male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in pond culture conditions has not been well studied in Ethiopia. Therefore, this study aimed to compare the growth performance and production of male tilapia at various stocking densities and to determine an ideal and economical stocking density for the culture of male </w:t>
            </w:r>
            <w:r w:rsidRPr="00DF613C">
              <w:rPr>
                <w:rFonts w:ascii="Times New Roman" w:eastAsia="Times New Roman" w:hAnsi="Times New Roman"/>
                <w:i/>
                <w:iCs/>
                <w:color w:val="000000"/>
                <w:sz w:val="22"/>
                <w:szCs w:val="22"/>
              </w:rPr>
              <w:t>O.niloticus</w:t>
            </w:r>
            <w:r w:rsidRPr="00DF613C">
              <w:rPr>
                <w:rFonts w:ascii="Times New Roman" w:eastAsia="Times New Roman" w:hAnsi="Times New Roman"/>
                <w:color w:val="000000"/>
                <w:sz w:val="22"/>
                <w:szCs w:val="22"/>
              </w:rPr>
              <w:t xml:space="preserve"> fingerlings in pond culture. Male fingerlings were selected by examining the genital papilla region and stocked at three stocking densities 3, 5, and 7fingerlings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in triplicates with an initial live weight of 26.31 ± 0.06 g and grown for six months in a 10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concrete pond for each. </w:t>
            </w:r>
            <w:r w:rsidRPr="00DF613C">
              <w:rPr>
                <w:rFonts w:ascii="Times New Roman" w:eastAsia="Times New Roman" w:hAnsi="Times New Roman"/>
                <w:iCs/>
                <w:color w:val="000000"/>
                <w:sz w:val="22"/>
                <w:szCs w:val="22"/>
              </w:rPr>
              <w:t xml:space="preserve">The final mean weights of the fingerlings stocked at densities of 3, 5, and 7 fingerlings were </w:t>
            </w:r>
            <w:r w:rsidRPr="00DF613C">
              <w:rPr>
                <w:rFonts w:ascii="Times New Roman" w:eastAsia="Times New Roman" w:hAnsi="Times New Roman"/>
                <w:sz w:val="22"/>
                <w:szCs w:val="22"/>
              </w:rPr>
              <w:t>182.58 ± 0.39</w:t>
            </w:r>
            <w:r w:rsidRPr="00DF613C">
              <w:rPr>
                <w:rFonts w:ascii="Times New Roman" w:eastAsia="Times New Roman" w:hAnsi="Times New Roman"/>
                <w:iCs/>
                <w:color w:val="000000"/>
                <w:sz w:val="22"/>
                <w:szCs w:val="22"/>
              </w:rPr>
              <w:t xml:space="preserve">, </w:t>
            </w:r>
            <w:r w:rsidRPr="00DF613C">
              <w:rPr>
                <w:rFonts w:ascii="Times New Roman" w:eastAsia="Times New Roman" w:hAnsi="Times New Roman"/>
                <w:sz w:val="22"/>
                <w:szCs w:val="22"/>
              </w:rPr>
              <w:t>163.33 ± 0.78</w:t>
            </w:r>
            <w:r w:rsidRPr="00DF613C">
              <w:rPr>
                <w:rFonts w:ascii="Times New Roman" w:eastAsia="Times New Roman" w:hAnsi="Times New Roman"/>
                <w:iCs/>
                <w:color w:val="000000"/>
                <w:sz w:val="22"/>
                <w:szCs w:val="22"/>
              </w:rPr>
              <w:t xml:space="preserve">, and </w:t>
            </w:r>
            <w:r w:rsidRPr="00DF613C">
              <w:rPr>
                <w:rFonts w:ascii="Times New Roman" w:eastAsia="Times New Roman" w:hAnsi="Times New Roman"/>
                <w:sz w:val="22"/>
                <w:szCs w:val="22"/>
              </w:rPr>
              <w:t>153.57 ± 0.34 </w:t>
            </w:r>
            <w:r w:rsidRPr="00DF613C">
              <w:rPr>
                <w:rFonts w:ascii="Times New Roman" w:eastAsia="Times New Roman" w:hAnsi="Times New Roman"/>
                <w:iCs/>
                <w:color w:val="000000"/>
                <w:sz w:val="22"/>
                <w:szCs w:val="22"/>
              </w:rPr>
              <w:t>g, respectively</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The growth performance of fish decrease (153.57 ± 0.34 g) with increasing the stocking density (7fish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The gross yield obtained at the end of the experiment </w:t>
            </w:r>
            <w:r w:rsidRPr="00DF613C">
              <w:rPr>
                <w:rFonts w:ascii="Times New Roman" w:eastAsia="Times New Roman" w:hAnsi="Times New Roman"/>
                <w:sz w:val="22"/>
                <w:szCs w:val="22"/>
              </w:rPr>
              <w:t>was 0.51 ± 0.01 kg/m</w:t>
            </w:r>
            <w:r w:rsidRPr="00DF613C">
              <w:rPr>
                <w:rFonts w:ascii="Times New Roman" w:eastAsia="Times New Roman" w:hAnsi="Times New Roman"/>
                <w:sz w:val="22"/>
                <w:szCs w:val="22"/>
                <w:vertAlign w:val="superscript"/>
              </w:rPr>
              <w:t>2</w:t>
            </w:r>
            <w:r w:rsidRPr="00DF613C">
              <w:rPr>
                <w:rFonts w:ascii="Times New Roman" w:eastAsia="Times New Roman" w:hAnsi="Times New Roman"/>
                <w:sz w:val="22"/>
                <w:szCs w:val="22"/>
              </w:rPr>
              <w:t>, 0.75 ± 0.02 kg/m</w:t>
            </w:r>
            <w:r w:rsidRPr="00DF613C">
              <w:rPr>
                <w:rFonts w:ascii="Times New Roman" w:eastAsia="Times New Roman" w:hAnsi="Times New Roman"/>
                <w:sz w:val="22"/>
                <w:szCs w:val="22"/>
                <w:vertAlign w:val="superscript"/>
              </w:rPr>
              <w:t xml:space="preserve">2 </w:t>
            </w:r>
            <w:r w:rsidRPr="00DF613C">
              <w:rPr>
                <w:rFonts w:ascii="Times New Roman" w:eastAsia="Times New Roman" w:hAnsi="Times New Roman"/>
                <w:sz w:val="22"/>
                <w:szCs w:val="22"/>
              </w:rPr>
              <w:t xml:space="preserve">  and 0.98 ±0.01 kg</w:t>
            </w:r>
            <w:r w:rsidRPr="00DF613C">
              <w:rPr>
                <w:rFonts w:ascii="Times New Roman" w:eastAsia="Times New Roman" w:hAnsi="Times New Roman"/>
                <w:color w:val="000000"/>
                <w:sz w:val="22"/>
                <w:szCs w:val="22"/>
              </w:rPr>
              <w:t xml:space="preserve">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sz w:val="22"/>
                <w:szCs w:val="22"/>
              </w:rPr>
              <w:t>for 3, 5 and 7fingerlings</w:t>
            </w:r>
            <w:r w:rsidRPr="00DF613C">
              <w:rPr>
                <w:rFonts w:ascii="Times New Roman" w:eastAsia="Times New Roman" w:hAnsi="Times New Roman"/>
                <w:color w:val="000000"/>
                <w:sz w:val="22"/>
                <w:szCs w:val="22"/>
              </w:rPr>
              <w:t xml:space="preserve">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sz w:val="22"/>
                <w:szCs w:val="22"/>
              </w:rPr>
              <w:t>, respectively</w:t>
            </w:r>
            <w:r w:rsidRPr="00DF613C">
              <w:rPr>
                <w:rFonts w:ascii="Times New Roman" w:eastAsia="Times New Roman" w:hAnsi="Times New Roman"/>
                <w:color w:val="000000"/>
                <w:sz w:val="22"/>
                <w:szCs w:val="22"/>
              </w:rPr>
              <w:t>. The higher stocking density (7fish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showed the uppermost total fish production and net profit. The overall results emanating from this study indicate that even if a higher growth rate was obtained at the lower stocking densities after ending the trial period the highest stocking density gave a significantly higher yield per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and can be very useful to give good returns for local consumption and efficient utilization of resources. Therefore, further study should be conducted to investigate better stocking density beyond 7fishes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and whether it will be possible to get more yields per unit area, but need optimum management (quality feed and secured water supply) are necessary to fish growth under high-density culturing systems.</w:t>
            </w:r>
            <w:bookmarkEnd w:id="1"/>
            <w:r w:rsidRPr="00DF613C">
              <w:rPr>
                <w:rFonts w:ascii="Times New Roman" w:eastAsia="Times New Roman" w:hAnsi="Times New Roman"/>
                <w:color w:val="000000"/>
                <w:sz w:val="22"/>
                <w:szCs w:val="22"/>
              </w:rPr>
              <w:t> </w:t>
            </w:r>
          </w:p>
          <w:p w14:paraId="4143368B"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0A9AC9B4" w14:textId="71A8DF8A" w:rsidR="00F472AF" w:rsidRPr="00DF613C" w:rsidRDefault="00F472AF" w:rsidP="00360444">
            <w:pPr>
              <w:tabs>
                <w:tab w:val="left" w:pos="2170"/>
                <w:tab w:val="center" w:pos="3178"/>
              </w:tabs>
              <w:jc w:val="both"/>
              <w:rPr>
                <w:rFonts w:ascii="Times New Roman" w:eastAsia="Calibri" w:hAnsi="Times New Roman"/>
                <w:sz w:val="22"/>
                <w:szCs w:val="22"/>
              </w:rPr>
            </w:pPr>
          </w:p>
        </w:tc>
      </w:tr>
      <w:tr w:rsidR="00006DAD" w:rsidRPr="00DF613C" w14:paraId="2BF69221" w14:textId="77777777" w:rsidTr="002A4615">
        <w:trPr>
          <w:trHeight w:val="1253"/>
        </w:trPr>
        <w:tc>
          <w:tcPr>
            <w:tcW w:w="3597" w:type="dxa"/>
            <w:tcBorders>
              <w:right w:val="nil"/>
            </w:tcBorders>
          </w:tcPr>
          <w:p w14:paraId="6EEC6DB8" w14:textId="77777777" w:rsidR="00006DAD" w:rsidRPr="00DF613C" w:rsidRDefault="00006DAD" w:rsidP="00360444">
            <w:pPr>
              <w:jc w:val="both"/>
              <w:rPr>
                <w:rFonts w:ascii="Times New Roman" w:hAnsi="Times New Roman"/>
                <w:b/>
                <w:i/>
                <w:sz w:val="22"/>
                <w:szCs w:val="22"/>
                <w:lang w:val="en-US" w:eastAsia="zh-CN"/>
              </w:rPr>
            </w:pPr>
          </w:p>
          <w:p w14:paraId="31A18465" w14:textId="63781E22" w:rsidR="00954F49" w:rsidRPr="00DF613C" w:rsidRDefault="00006DAD" w:rsidP="00360444">
            <w:pPr>
              <w:widowControl w:val="0"/>
              <w:autoSpaceDE w:val="0"/>
              <w:autoSpaceDN w:val="0"/>
              <w:jc w:val="both"/>
              <w:rPr>
                <w:rFonts w:ascii="Times New Roman" w:eastAsia="Times New Roman" w:hAnsi="Times New Roman"/>
                <w:i/>
                <w:color w:val="000000"/>
                <w:sz w:val="22"/>
                <w:szCs w:val="22"/>
              </w:rPr>
            </w:pPr>
            <w:r w:rsidRPr="00DF613C">
              <w:rPr>
                <w:rFonts w:ascii="Times New Roman" w:hAnsi="Times New Roman"/>
                <w:b/>
                <w:sz w:val="22"/>
                <w:szCs w:val="22"/>
                <w:lang w:val="en-US" w:eastAsia="zh-CN"/>
              </w:rPr>
              <w:t>Keywords:</w:t>
            </w:r>
            <w:bookmarkStart w:id="2" w:name="_Hlk146181544"/>
            <w:r w:rsidR="001356CF" w:rsidRPr="00DF613C">
              <w:rPr>
                <w:rFonts w:ascii="Times New Roman" w:hAnsi="Times New Roman"/>
                <w:b/>
                <w:sz w:val="22"/>
                <w:szCs w:val="22"/>
                <w:lang w:val="en-US" w:eastAsia="zh-CN"/>
              </w:rPr>
              <w:t xml:space="preserve"> </w:t>
            </w:r>
            <w:r w:rsidR="001356CF" w:rsidRPr="00DF613C">
              <w:rPr>
                <w:rFonts w:ascii="Times New Roman" w:eastAsia="Times New Roman" w:hAnsi="Times New Roman"/>
                <w:i/>
                <w:color w:val="000000"/>
                <w:sz w:val="22"/>
                <w:szCs w:val="22"/>
              </w:rPr>
              <w:t>Growth performance, Male O. niloticus, Pond culture, Production, Stocking density</w:t>
            </w:r>
            <w:bookmarkEnd w:id="2"/>
            <w:r w:rsidR="001356CF" w:rsidRPr="00DF613C">
              <w:rPr>
                <w:rFonts w:ascii="Times New Roman" w:eastAsia="Times New Roman" w:hAnsi="Times New Roman"/>
                <w:i/>
                <w:color w:val="000000"/>
                <w:sz w:val="22"/>
                <w:szCs w:val="22"/>
              </w:rPr>
              <w:t>.</w:t>
            </w:r>
          </w:p>
          <w:p w14:paraId="1C60F328" w14:textId="77777777" w:rsidR="00954F49" w:rsidRPr="00DF613C" w:rsidRDefault="00954F49" w:rsidP="00360444">
            <w:pPr>
              <w:widowControl w:val="0"/>
              <w:autoSpaceDE w:val="0"/>
              <w:autoSpaceDN w:val="0"/>
              <w:jc w:val="both"/>
              <w:rPr>
                <w:rFonts w:ascii="Times New Roman" w:eastAsia="Times New Roman" w:hAnsi="Times New Roman"/>
                <w:i/>
                <w:color w:val="000000"/>
                <w:sz w:val="22"/>
                <w:szCs w:val="22"/>
              </w:rPr>
            </w:pPr>
          </w:p>
          <w:p w14:paraId="7C9008AB" w14:textId="2BE95653" w:rsidR="004959AF" w:rsidRPr="00DF613C" w:rsidRDefault="004959AF" w:rsidP="00360444">
            <w:pPr>
              <w:jc w:val="both"/>
              <w:rPr>
                <w:rFonts w:ascii="Times New Roman" w:hAnsi="Times New Roman"/>
                <w:b/>
                <w:sz w:val="22"/>
                <w:szCs w:val="22"/>
                <w:lang w:val="en-US" w:eastAsia="zh-CN"/>
              </w:rPr>
            </w:pPr>
          </w:p>
          <w:p w14:paraId="760356BE" w14:textId="11F4EF61" w:rsidR="00006DAD" w:rsidRPr="00DF613C" w:rsidRDefault="00006DAD" w:rsidP="00360444">
            <w:pPr>
              <w:jc w:val="both"/>
              <w:rPr>
                <w:rFonts w:ascii="Times New Roman" w:hAnsi="Times New Roman"/>
                <w:b/>
                <w:sz w:val="22"/>
                <w:szCs w:val="22"/>
                <w:lang w:val="en-US" w:eastAsia="zh-CN"/>
              </w:rPr>
            </w:pPr>
          </w:p>
        </w:tc>
        <w:tc>
          <w:tcPr>
            <w:tcW w:w="270" w:type="dxa"/>
            <w:tcBorders>
              <w:top w:val="nil"/>
              <w:left w:val="nil"/>
              <w:bottom w:val="nil"/>
              <w:right w:val="nil"/>
            </w:tcBorders>
          </w:tcPr>
          <w:p w14:paraId="79239F65" w14:textId="77777777" w:rsidR="00006DAD" w:rsidRPr="00DF613C" w:rsidRDefault="00006DAD" w:rsidP="00360444">
            <w:pPr>
              <w:jc w:val="both"/>
              <w:rPr>
                <w:rFonts w:ascii="Times New Roman" w:hAnsi="Times New Roman"/>
                <w:b/>
                <w:i/>
                <w:sz w:val="22"/>
                <w:szCs w:val="22"/>
                <w:lang w:val="en-US" w:eastAsia="zh-CN"/>
              </w:rPr>
            </w:pPr>
          </w:p>
        </w:tc>
        <w:tc>
          <w:tcPr>
            <w:tcW w:w="6573" w:type="dxa"/>
            <w:gridSpan w:val="2"/>
            <w:vMerge/>
            <w:tcBorders>
              <w:left w:val="nil"/>
            </w:tcBorders>
          </w:tcPr>
          <w:p w14:paraId="66A6E6F1" w14:textId="77777777" w:rsidR="00006DAD" w:rsidRPr="00DF613C" w:rsidRDefault="00006DAD" w:rsidP="00360444">
            <w:pPr>
              <w:jc w:val="both"/>
              <w:rPr>
                <w:rFonts w:ascii="Times New Roman" w:hAnsi="Times New Roman"/>
                <w:b/>
                <w:i/>
                <w:sz w:val="22"/>
                <w:szCs w:val="22"/>
                <w:lang w:val="en-US" w:eastAsia="zh-CN"/>
              </w:rPr>
            </w:pPr>
          </w:p>
        </w:tc>
      </w:tr>
    </w:tbl>
    <w:p w14:paraId="16CB294C" w14:textId="7CCED67F" w:rsidR="00632329" w:rsidRPr="00DF613C" w:rsidRDefault="00632329" w:rsidP="00360444">
      <w:pPr>
        <w:jc w:val="both"/>
        <w:rPr>
          <w:rFonts w:ascii="Times New Roman" w:hAnsi="Times New Roman"/>
          <w:b/>
          <w:sz w:val="22"/>
          <w:szCs w:val="22"/>
          <w:lang w:val="en-US" w:eastAsia="zh-CN"/>
        </w:rPr>
        <w:sectPr w:rsidR="00632329" w:rsidRPr="00DF613C" w:rsidSect="00360444">
          <w:footerReference w:type="default" r:id="rId10"/>
          <w:footerReference w:type="first" r:id="rId11"/>
          <w:type w:val="continuous"/>
          <w:pgSz w:w="11907" w:h="16839" w:code="9"/>
          <w:pgMar w:top="630" w:right="719" w:bottom="1138" w:left="720" w:header="737" w:footer="737" w:gutter="0"/>
          <w:pgNumType w:start="51"/>
          <w:cols w:space="720"/>
          <w:titlePg/>
          <w:docGrid w:linePitch="272"/>
        </w:sectPr>
      </w:pPr>
    </w:p>
    <w:p w14:paraId="79C7C5B8" w14:textId="688B37B9" w:rsidR="00DE30A1" w:rsidRPr="00DF613C" w:rsidRDefault="00F55F0B" w:rsidP="00360444">
      <w:pPr>
        <w:pStyle w:val="ListParagraph"/>
        <w:numPr>
          <w:ilvl w:val="0"/>
          <w:numId w:val="4"/>
        </w:numPr>
        <w:spacing w:after="240"/>
        <w:ind w:firstLineChars="0"/>
        <w:jc w:val="both"/>
        <w:rPr>
          <w:rFonts w:ascii="Times New Roman" w:hAnsi="Times New Roman"/>
          <w:b/>
          <w:sz w:val="22"/>
          <w:szCs w:val="22"/>
          <w:lang w:val="en-US"/>
        </w:rPr>
      </w:pPr>
      <w:r w:rsidRPr="00DF613C">
        <w:rPr>
          <w:rFonts w:ascii="Times New Roman" w:hAnsi="Times New Roman"/>
          <w:b/>
          <w:sz w:val="22"/>
          <w:szCs w:val="22"/>
          <w:lang w:val="en-US"/>
        </w:rPr>
        <w:lastRenderedPageBreak/>
        <w:t>INTRODUCTION</w:t>
      </w:r>
    </w:p>
    <w:p w14:paraId="4507012A" w14:textId="77777777" w:rsidR="00BD08E0" w:rsidRDefault="00BD08E0" w:rsidP="00360444">
      <w:pPr>
        <w:widowControl w:val="0"/>
        <w:autoSpaceDE w:val="0"/>
        <w:autoSpaceDN w:val="0"/>
        <w:spacing w:before="240"/>
        <w:jc w:val="both"/>
        <w:rPr>
          <w:rFonts w:ascii="Times New Roman" w:eastAsia="Times New Roman" w:hAnsi="Times New Roman"/>
          <w:color w:val="000000"/>
          <w:sz w:val="22"/>
          <w:szCs w:val="22"/>
        </w:rPr>
        <w:sectPr w:rsidR="00BD08E0" w:rsidSect="00360444">
          <w:footerReference w:type="default" r:id="rId12"/>
          <w:pgSz w:w="11907" w:h="16839" w:code="9"/>
          <w:pgMar w:top="1440" w:right="1440" w:bottom="1440" w:left="1440" w:header="720" w:footer="720" w:gutter="0"/>
          <w:cols w:num="2" w:space="720"/>
          <w:docGrid w:linePitch="360"/>
        </w:sectPr>
      </w:pPr>
      <w:bookmarkStart w:id="3" w:name="_Hlk146181814"/>
    </w:p>
    <w:p w14:paraId="445E8042" w14:textId="0141668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The production of fisheries in the major lakes of Ethiopia is decreasing at an alarming rate and failed to meet the ever-growing demand for fish (Mulugeta Wakjira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2013). The current increasing market demand for fish protein in Ethiopia can be met only when the capture fishery is supplemented by aquaculture (Ashagrie Gibtan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2008). However, aquaculture in Ethiopia remains more potential than actual practice because, c</w:t>
      </w:r>
      <w:r w:rsidRPr="00DF613C">
        <w:rPr>
          <w:rFonts w:ascii="Times New Roman" w:eastAsia="Times New Roman" w:hAnsi="Times New Roman"/>
          <w:color w:val="000000"/>
          <w:sz w:val="22"/>
          <w:szCs w:val="22"/>
          <w:shd w:val="clear" w:color="auto" w:fill="FFFFFF"/>
        </w:rPr>
        <w:t>urrently, there was not this much plentiful production of aquaculture in this country, and didn`t benefit from this sector</w:t>
      </w:r>
      <w:r w:rsidRPr="00DF613C">
        <w:rPr>
          <w:rFonts w:ascii="Times New Roman" w:eastAsia="Times New Roman" w:hAnsi="Times New Roman"/>
          <w:color w:val="000000"/>
          <w:sz w:val="22"/>
          <w:szCs w:val="22"/>
        </w:rPr>
        <w:t xml:space="preserve"> (Natea Gadis</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2019). Aquaculture development in Ethiopia has been very limited and the practice mainly consisted of stocking fish fingerlings (</w:t>
      </w:r>
      <w:r w:rsidRPr="00DF613C">
        <w:rPr>
          <w:rFonts w:ascii="Times New Roman" w:eastAsia="Times New Roman" w:hAnsi="Times New Roman"/>
          <w:color w:val="222222"/>
          <w:sz w:val="22"/>
          <w:szCs w:val="22"/>
          <w:shd w:val="clear" w:color="auto" w:fill="FFFFFF"/>
        </w:rPr>
        <w:t>Lema Abera and Zenebe Tadesse 2009).</w:t>
      </w:r>
      <w:r w:rsidRPr="00DF613C">
        <w:rPr>
          <w:rFonts w:ascii="Times New Roman" w:eastAsia="Times New Roman" w:hAnsi="Times New Roman"/>
          <w:color w:val="000000"/>
          <w:sz w:val="22"/>
          <w:szCs w:val="22"/>
        </w:rPr>
        <w:t xml:space="preserve">  The problem of overpopulation in ponds caused by uncontrolled reproduction is a major limitation for further development of the aquaculture sector. Mostly, small-scale aquaculture is implemented with mixed-sex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fishes (Erkie Asmare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2019). </w:t>
      </w:r>
    </w:p>
    <w:p w14:paraId="786B483A"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Due to precocious maturity and uncontrolled reproduction of females, overpopulation in ponds is evitable which results in stunted fish and failure to get market-sized fish (Ashagrie Gibtan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2008)</w:t>
      </w:r>
      <w:r w:rsidRPr="00DF613C">
        <w:rPr>
          <w:rFonts w:ascii="Times New Roman" w:eastAsia="Times New Roman" w:hAnsi="Times New Roman"/>
          <w:i/>
          <w:iCs/>
          <w:color w:val="000000"/>
          <w:sz w:val="22"/>
          <w:szCs w:val="22"/>
        </w:rPr>
        <w:t>.</w:t>
      </w:r>
      <w:r w:rsidRPr="00DF613C">
        <w:rPr>
          <w:rFonts w:ascii="Times New Roman" w:eastAsia="Times New Roman" w:hAnsi="Times New Roman"/>
          <w:color w:val="000000"/>
          <w:sz w:val="22"/>
          <w:szCs w:val="22"/>
        </w:rPr>
        <w:t xml:space="preserve"> In the Amhara region, most of the farmers’ ponds became overcrowded by fish fingerlings with stunting growth and seem like multiplication ponds than production (Erkie Asmare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2019).</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 xml:space="preserve">The culture of all-male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is well established for increased production potential and low management requirements in a semi-intensive pond culture system since there is no energy to be utilized for reproduction and there exists no competition with younger fish (Adamneh Dagne</w:t>
      </w:r>
      <w:r w:rsidRPr="00DF613C">
        <w:rPr>
          <w:rFonts w:ascii="Times New Roman" w:eastAsia="Times New Roman" w:hAnsi="Times New Roman"/>
          <w:i/>
          <w:iCs/>
          <w:color w:val="000000"/>
          <w:sz w:val="22"/>
          <w:szCs w:val="22"/>
        </w:rPr>
        <w:t xml:space="preserve"> et al </w:t>
      </w:r>
      <w:r w:rsidRPr="00DF613C">
        <w:rPr>
          <w:rFonts w:ascii="Times New Roman" w:eastAsia="Times New Roman" w:hAnsi="Times New Roman"/>
          <w:color w:val="000000"/>
          <w:sz w:val="22"/>
          <w:szCs w:val="22"/>
        </w:rPr>
        <w:t>2013).</w:t>
      </w:r>
    </w:p>
    <w:p w14:paraId="46BEDA9F" w14:textId="77777777" w:rsidR="001356CF" w:rsidRPr="00DF613C" w:rsidRDefault="001356CF" w:rsidP="00360444">
      <w:pPr>
        <w:widowControl w:val="0"/>
        <w:shd w:val="clear" w:color="auto" w:fill="FFFFFF"/>
        <w:autoSpaceDE w:val="0"/>
        <w:autoSpaceDN w:val="0"/>
        <w:jc w:val="both"/>
        <w:rPr>
          <w:rFonts w:ascii="Times New Roman" w:eastAsia="Times New Roman" w:hAnsi="Times New Roman"/>
          <w:color w:val="000000"/>
          <w:sz w:val="22"/>
          <w:szCs w:val="22"/>
        </w:rPr>
      </w:pPr>
    </w:p>
    <w:p w14:paraId="506A4AFB" w14:textId="77777777" w:rsidR="00BD08E0" w:rsidRDefault="001356CF" w:rsidP="00360444">
      <w:pPr>
        <w:widowControl w:val="0"/>
        <w:shd w:val="clear" w:color="auto" w:fill="FFFFFF"/>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Apart from using all male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stocking density is another key factor to achieve optimum </w:t>
      </w:r>
    </w:p>
    <w:p w14:paraId="4F0B8B5B" w14:textId="77777777" w:rsidR="00BD08E0" w:rsidRDefault="00BD08E0" w:rsidP="00360444">
      <w:pPr>
        <w:widowControl w:val="0"/>
        <w:shd w:val="clear" w:color="auto" w:fill="FFFFFF"/>
        <w:autoSpaceDE w:val="0"/>
        <w:autoSpaceDN w:val="0"/>
        <w:jc w:val="both"/>
        <w:rPr>
          <w:rFonts w:ascii="Times New Roman" w:eastAsia="Times New Roman" w:hAnsi="Times New Roman"/>
          <w:color w:val="000000"/>
          <w:sz w:val="22"/>
          <w:szCs w:val="22"/>
        </w:rPr>
      </w:pPr>
    </w:p>
    <w:p w14:paraId="22D5E1DA" w14:textId="18CB6C6F" w:rsidR="001356CF" w:rsidRPr="00DF613C" w:rsidRDefault="001356CF" w:rsidP="00360444">
      <w:pPr>
        <w:widowControl w:val="0"/>
        <w:shd w:val="clear" w:color="auto" w:fill="FFFFFF"/>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production because it has a direct effect on the growth performance and total production of the fish, nutrition, and type of culturing system (Islam </w:t>
      </w:r>
      <w:r w:rsidRPr="00DF613C">
        <w:rPr>
          <w:rFonts w:ascii="Times New Roman" w:eastAsia="Times New Roman" w:hAnsi="Times New Roman"/>
          <w:i/>
          <w:iCs/>
          <w:color w:val="000000"/>
          <w:sz w:val="22"/>
          <w:szCs w:val="22"/>
        </w:rPr>
        <w:t xml:space="preserve">et al </w:t>
      </w:r>
      <w:r w:rsidRPr="00DF613C">
        <w:rPr>
          <w:rFonts w:ascii="Times New Roman" w:eastAsia="Times New Roman" w:hAnsi="Times New Roman"/>
          <w:color w:val="000000"/>
          <w:sz w:val="22"/>
          <w:szCs w:val="22"/>
        </w:rPr>
        <w:t>2006). This is because the growth rate of fish progressively increases at lower stocking densities. The reason is that a lesser number of fish in a pond of a similar size helps fish to get more space and food at the same time</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 xml:space="preserve">(Hasan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2010)</w:t>
      </w:r>
      <w:r w:rsidRPr="00DF613C">
        <w:rPr>
          <w:rFonts w:ascii="Times New Roman" w:eastAsia="Times New Roman" w:hAnsi="Times New Roman"/>
          <w:i/>
          <w:iCs/>
          <w:color w:val="000000"/>
          <w:sz w:val="22"/>
          <w:szCs w:val="22"/>
        </w:rPr>
        <w:t>.</w:t>
      </w:r>
      <w:r w:rsidRPr="00DF613C">
        <w:rPr>
          <w:rFonts w:ascii="Times New Roman" w:eastAsia="Times New Roman" w:hAnsi="Times New Roman"/>
          <w:color w:val="000000"/>
          <w:sz w:val="22"/>
          <w:szCs w:val="22"/>
        </w:rPr>
        <w:t xml:space="preserve"> But, if the stocking density is too low, the fish grow faster and reach larger sizes but, the per-unit area production is also low </w:t>
      </w:r>
      <w:r w:rsidRPr="00DF613C">
        <w:rPr>
          <w:rFonts w:ascii="Times New Roman" w:eastAsia="Times New Roman" w:hAnsi="Times New Roman"/>
          <w:color w:val="000000"/>
          <w:sz w:val="22"/>
          <w:szCs w:val="22"/>
          <w:shd w:val="clear" w:color="auto" w:fill="FFFFFF"/>
        </w:rPr>
        <w:t xml:space="preserve">(Ashagrie Gebitan </w:t>
      </w:r>
      <w:r w:rsidRPr="00DF613C">
        <w:rPr>
          <w:rFonts w:ascii="Times New Roman" w:eastAsia="Times New Roman" w:hAnsi="Times New Roman"/>
          <w:i/>
          <w:iCs/>
          <w:color w:val="000000"/>
          <w:sz w:val="22"/>
          <w:szCs w:val="22"/>
          <w:shd w:val="clear" w:color="auto" w:fill="FFFFFF"/>
        </w:rPr>
        <w:t>et al</w:t>
      </w:r>
      <w:r w:rsidRPr="00DF613C">
        <w:rPr>
          <w:rFonts w:ascii="Times New Roman" w:eastAsia="Times New Roman" w:hAnsi="Times New Roman"/>
          <w:color w:val="000000"/>
          <w:sz w:val="22"/>
          <w:szCs w:val="22"/>
          <w:shd w:val="clear" w:color="auto" w:fill="FFFFFF"/>
        </w:rPr>
        <w:t xml:space="preserve"> 2008).</w:t>
      </w:r>
      <w:r w:rsidRPr="00DF613C">
        <w:rPr>
          <w:rFonts w:ascii="Times New Roman" w:eastAsia="Times New Roman" w:hAnsi="Times New Roman"/>
          <w:color w:val="000000"/>
          <w:sz w:val="22"/>
          <w:szCs w:val="22"/>
        </w:rPr>
        <w:t> On the other hand,</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 xml:space="preserve">male mono-sex culture permits the use of higher stocking rates (Nahid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2012). High stocking densities reduce individual growth rates, but yields per unit area are greater (Ashagrie Gibtan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2008). However, excessive stocking densities produce fish below marketable size and fish yields are not improved </w:t>
      </w:r>
      <w:r w:rsidRPr="00DF613C">
        <w:rPr>
          <w:rFonts w:ascii="Times New Roman" w:eastAsia="Times New Roman" w:hAnsi="Times New Roman"/>
          <w:color w:val="222222"/>
          <w:sz w:val="22"/>
          <w:szCs w:val="22"/>
          <w:shd w:val="clear" w:color="auto" w:fill="FFFFFF"/>
        </w:rPr>
        <w:t>(Jha and Barat 2005). Furthermore, f</w:t>
      </w:r>
      <w:r w:rsidRPr="00DF613C">
        <w:rPr>
          <w:rFonts w:ascii="Times New Roman" w:eastAsia="Times New Roman" w:hAnsi="Times New Roman"/>
          <w:color w:val="000000"/>
          <w:sz w:val="22"/>
          <w:szCs w:val="22"/>
        </w:rPr>
        <w:t xml:space="preserve">ish intensification by increasing stocking density is also found suitable to overcome the problem of land shortage and increase the profitability of the farm (Khattab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2001).</w:t>
      </w:r>
    </w:p>
    <w:p w14:paraId="024624BE"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Therefore, proper stocking density is considered one of the most important variables in aquaculture because it directly influences the growth and production of fish and the profitability of the farm. However, information related to the effect of stocking density on the growth performance and production of male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in pond culture conditions has not been well studied in Ethiopia. Therefore, this study aimed to compare the growth performance and production of male tilapia at various stocking densities and to determine an ideal and economical stocking density for the culture of male </w:t>
      </w:r>
      <w:r w:rsidRPr="00DF613C">
        <w:rPr>
          <w:rFonts w:ascii="Times New Roman" w:eastAsia="Times New Roman" w:hAnsi="Times New Roman"/>
          <w:i/>
          <w:iCs/>
          <w:color w:val="000000"/>
          <w:sz w:val="22"/>
          <w:szCs w:val="22"/>
        </w:rPr>
        <w:t>O</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niloticus</w:t>
      </w:r>
      <w:r w:rsidRPr="00DF613C">
        <w:rPr>
          <w:rFonts w:ascii="Times New Roman" w:eastAsia="Times New Roman" w:hAnsi="Times New Roman"/>
          <w:color w:val="000000"/>
          <w:sz w:val="22"/>
          <w:szCs w:val="22"/>
        </w:rPr>
        <w:t xml:space="preserve"> fingerlings in pond culture and generate baseline information for improving fish production in pond farming.</w:t>
      </w:r>
    </w:p>
    <w:p w14:paraId="6607B2FC" w14:textId="77777777" w:rsidR="00BD08E0" w:rsidRDefault="00BD08E0" w:rsidP="00360444">
      <w:pPr>
        <w:widowControl w:val="0"/>
        <w:autoSpaceDE w:val="0"/>
        <w:autoSpaceDN w:val="0"/>
        <w:jc w:val="both"/>
        <w:rPr>
          <w:rFonts w:ascii="Times New Roman" w:eastAsia="Times New Roman" w:hAnsi="Times New Roman"/>
          <w:b/>
          <w:bCs/>
          <w:color w:val="000000"/>
          <w:sz w:val="22"/>
          <w:szCs w:val="22"/>
        </w:rPr>
        <w:sectPr w:rsidR="00BD08E0" w:rsidSect="00360444">
          <w:type w:val="continuous"/>
          <w:pgSz w:w="11907" w:h="16839" w:code="9"/>
          <w:pgMar w:top="1440" w:right="1440" w:bottom="1440" w:left="1440" w:header="720" w:footer="720" w:gutter="0"/>
          <w:cols w:num="2" w:space="720"/>
          <w:docGrid w:linePitch="360"/>
        </w:sectPr>
      </w:pPr>
    </w:p>
    <w:p w14:paraId="57FC3782" w14:textId="38C483F9"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01EA4FB3" w14:textId="5F4D7E0A" w:rsidR="001356CF" w:rsidRPr="00DF613C" w:rsidRDefault="001356CF" w:rsidP="00360444">
      <w:pPr>
        <w:pStyle w:val="ListParagraph"/>
        <w:widowControl w:val="0"/>
        <w:numPr>
          <w:ilvl w:val="0"/>
          <w:numId w:val="4"/>
        </w:numPr>
        <w:autoSpaceDE w:val="0"/>
        <w:autoSpaceDN w:val="0"/>
        <w:spacing w:after="24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MATERIALS AND METHODS</w:t>
      </w:r>
    </w:p>
    <w:p w14:paraId="15002580" w14:textId="3E3420EC"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Description of the Study Area</w:t>
      </w:r>
    </w:p>
    <w:p w14:paraId="45017BA4" w14:textId="77777777" w:rsidR="00281A9E"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The pond experiment was conducted at Bahir Dar Fisheries and Other Aquatic Life Research Centre (BFALRC) located at nearest to Lake Tana and a </w:t>
      </w:r>
      <w:r w:rsidR="00281A9E">
        <w:rPr>
          <w:rFonts w:ascii="Times New Roman" w:eastAsia="Times New Roman" w:hAnsi="Times New Roman"/>
          <w:color w:val="000000"/>
          <w:sz w:val="22"/>
          <w:szCs w:val="22"/>
        </w:rPr>
        <w:t xml:space="preserve">distance of 563 kilometers from </w:t>
      </w:r>
    </w:p>
    <w:p w14:paraId="1251B5BC" w14:textId="77777777" w:rsidR="00281A9E" w:rsidRDefault="00281A9E" w:rsidP="00360444">
      <w:pPr>
        <w:widowControl w:val="0"/>
        <w:autoSpaceDE w:val="0"/>
        <w:autoSpaceDN w:val="0"/>
        <w:jc w:val="both"/>
        <w:rPr>
          <w:rFonts w:ascii="Times New Roman" w:eastAsia="Times New Roman" w:hAnsi="Times New Roman"/>
          <w:color w:val="000000"/>
          <w:sz w:val="22"/>
          <w:szCs w:val="22"/>
        </w:rPr>
      </w:pPr>
    </w:p>
    <w:p w14:paraId="63B5A1AB" w14:textId="77777777" w:rsidR="00281A9E" w:rsidRDefault="00281A9E" w:rsidP="00360444">
      <w:pPr>
        <w:widowControl w:val="0"/>
        <w:autoSpaceDE w:val="0"/>
        <w:autoSpaceDN w:val="0"/>
        <w:jc w:val="both"/>
        <w:rPr>
          <w:rFonts w:ascii="Times New Roman" w:eastAsia="Times New Roman" w:hAnsi="Times New Roman"/>
          <w:color w:val="000000"/>
          <w:sz w:val="22"/>
          <w:szCs w:val="22"/>
        </w:rPr>
      </w:pPr>
    </w:p>
    <w:p w14:paraId="4A081C0D" w14:textId="77777777" w:rsidR="00281A9E" w:rsidRDefault="00281A9E" w:rsidP="00360444">
      <w:pPr>
        <w:widowControl w:val="0"/>
        <w:autoSpaceDE w:val="0"/>
        <w:autoSpaceDN w:val="0"/>
        <w:jc w:val="both"/>
        <w:rPr>
          <w:rFonts w:ascii="Times New Roman" w:eastAsia="Times New Roman" w:hAnsi="Times New Roman"/>
          <w:color w:val="000000"/>
          <w:sz w:val="22"/>
          <w:szCs w:val="22"/>
        </w:rPr>
      </w:pPr>
    </w:p>
    <w:p w14:paraId="3428ED06" w14:textId="77777777" w:rsidR="00281A9E" w:rsidRDefault="00281A9E" w:rsidP="00360444">
      <w:pPr>
        <w:widowControl w:val="0"/>
        <w:autoSpaceDE w:val="0"/>
        <w:autoSpaceDN w:val="0"/>
        <w:jc w:val="both"/>
        <w:rPr>
          <w:rFonts w:ascii="Times New Roman" w:eastAsia="Times New Roman" w:hAnsi="Times New Roman"/>
          <w:color w:val="000000"/>
          <w:sz w:val="22"/>
          <w:szCs w:val="22"/>
        </w:rPr>
      </w:pPr>
    </w:p>
    <w:p w14:paraId="41AB5E11" w14:textId="64F12628"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Addis Ababa, the capital of Ethiopia Situated at 1800 m above sea level (11036'36" N and 37022'35.5" E). The average air temperature varied between 22 and 29</w:t>
      </w:r>
      <w:r w:rsidRPr="00DF613C">
        <w:rPr>
          <w:rFonts w:ascii="Times New Roman" w:eastAsia="Times New Roman" w:hAnsi="Times New Roman"/>
          <w:color w:val="000000"/>
          <w:sz w:val="22"/>
          <w:szCs w:val="22"/>
          <w:vertAlign w:val="superscript"/>
        </w:rPr>
        <w:t>0</w:t>
      </w:r>
      <w:r w:rsidRPr="00DF613C">
        <w:rPr>
          <w:rFonts w:ascii="Times New Roman" w:eastAsia="Times New Roman" w:hAnsi="Times New Roman"/>
          <w:color w:val="000000"/>
          <w:sz w:val="22"/>
          <w:szCs w:val="22"/>
        </w:rPr>
        <w:t xml:space="preserve">C and dissolved </w:t>
      </w:r>
      <w:r w:rsidRPr="00DF613C">
        <w:rPr>
          <w:rFonts w:ascii="Times New Roman" w:eastAsia="Times New Roman" w:hAnsi="Times New Roman"/>
          <w:color w:val="000000"/>
          <w:sz w:val="22"/>
          <w:szCs w:val="22"/>
        </w:rPr>
        <w:lastRenderedPageBreak/>
        <w:t>oxygen was in between 3 and 8 mg/L during the experimental period</w:t>
      </w:r>
    </w:p>
    <w:p w14:paraId="6644965A"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7048F546" w14:textId="31AFB21D"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Experimental Setup and Design</w:t>
      </w:r>
    </w:p>
    <w:p w14:paraId="7837534A" w14:textId="77777777" w:rsidR="004D6651"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The trial was conducted in concrete ponds with a dimension of 5x2x1 m (10m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for a period of six months i.e., from February up to August 2021. The concrete ponds were first placed and arranged randomly and assigned for each treatment group. The ponds were similar in respect to depth, basin configuration, and patterns including water supply facilities. The ponds have an appropriate inlet overflow and outlet system to maintain a suitable water level. The ponds </w:t>
      </w:r>
    </w:p>
    <w:p w14:paraId="2D92F385"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7994F36E"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624BB30D"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0D20EFBD"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4399DC5C"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00A77FD4"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34DFA9A7" w14:textId="77777777" w:rsidR="004D6651" w:rsidRDefault="004D6651" w:rsidP="00360444">
      <w:pPr>
        <w:widowControl w:val="0"/>
        <w:autoSpaceDE w:val="0"/>
        <w:autoSpaceDN w:val="0"/>
        <w:jc w:val="both"/>
        <w:rPr>
          <w:rFonts w:ascii="Times New Roman" w:eastAsia="Times New Roman" w:hAnsi="Times New Roman"/>
          <w:color w:val="000000"/>
          <w:sz w:val="22"/>
          <w:szCs w:val="22"/>
        </w:rPr>
      </w:pPr>
    </w:p>
    <w:p w14:paraId="39F684ED" w14:textId="7D8334F1"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were covered by fine-meshed nylon nets to prevent the entrance of frogs and other predators. The experiment was carried out by using three treatments (different stocking densities) using male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fish in triplicate. The treatments were labeled as treatments 1, 2, and 3 for the corresponding stocking density of 3, 5, and 7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respectively. </w:t>
      </w:r>
      <w:r w:rsidRPr="00DF613C">
        <w:rPr>
          <w:rFonts w:ascii="Times New Roman" w:eastAsia="Times New Roman" w:hAnsi="Times New Roman"/>
          <w:color w:val="000000"/>
          <w:sz w:val="22"/>
          <w:szCs w:val="22"/>
          <w:vertAlign w:val="superscript"/>
        </w:rPr>
        <w:t> </w:t>
      </w:r>
      <w:r w:rsidRPr="00DF613C">
        <w:rPr>
          <w:rFonts w:ascii="Times New Roman" w:eastAsia="Times New Roman" w:hAnsi="Times New Roman"/>
          <w:color w:val="000000"/>
          <w:sz w:val="22"/>
          <w:szCs w:val="22"/>
        </w:rPr>
        <w:t>The total number of experimental fingerlings stocked at treatment one (T1) was 30 fingerlings per pond, 50 fingerlings per pond for treatment two (T2), and 70 fingerlings per pond for treatment three (T3).</w:t>
      </w:r>
    </w:p>
    <w:p w14:paraId="5096405B" w14:textId="77777777" w:rsidR="001356CF" w:rsidRPr="00DF613C" w:rsidRDefault="001356CF" w:rsidP="00360444">
      <w:pPr>
        <w:widowControl w:val="0"/>
        <w:autoSpaceDE w:val="0"/>
        <w:autoSpaceDN w:val="0"/>
        <w:spacing w:before="40"/>
        <w:jc w:val="both"/>
        <w:rPr>
          <w:rFonts w:ascii="Times New Roman" w:eastAsia="Times New Roman" w:hAnsi="Times New Roman"/>
          <w:sz w:val="22"/>
          <w:szCs w:val="22"/>
        </w:rPr>
        <w:sectPr w:rsidR="001356CF" w:rsidRPr="00DF613C" w:rsidSect="00360444">
          <w:type w:val="continuous"/>
          <w:pgSz w:w="11907" w:h="16839" w:code="9"/>
          <w:pgMar w:top="1440" w:right="1440" w:bottom="1440" w:left="1440" w:header="720" w:footer="720" w:gutter="0"/>
          <w:cols w:num="2" w:space="720"/>
          <w:docGrid w:linePitch="360"/>
        </w:sectPr>
      </w:pPr>
    </w:p>
    <w:p w14:paraId="31304706" w14:textId="0FEB4A83" w:rsidR="001356CF" w:rsidRPr="00DF613C" w:rsidRDefault="001356CF" w:rsidP="00360444">
      <w:pPr>
        <w:widowControl w:val="0"/>
        <w:autoSpaceDE w:val="0"/>
        <w:autoSpaceDN w:val="0"/>
        <w:spacing w:before="40"/>
        <w:jc w:val="both"/>
        <w:rPr>
          <w:rFonts w:ascii="Times New Roman" w:eastAsia="Times New Roman" w:hAnsi="Times New Roman"/>
          <w:sz w:val="22"/>
          <w:szCs w:val="22"/>
        </w:rPr>
        <w:sectPr w:rsidR="001356CF" w:rsidRPr="00DF613C" w:rsidSect="00360444">
          <w:type w:val="continuous"/>
          <w:pgSz w:w="11907" w:h="16839" w:code="9"/>
          <w:pgMar w:top="1440" w:right="1440" w:bottom="1440" w:left="1440" w:header="720" w:footer="720" w:gutter="0"/>
          <w:cols w:space="720"/>
          <w:docGrid w:linePitch="360"/>
        </w:sectPr>
      </w:pPr>
      <w:r w:rsidRPr="00DF613C">
        <w:rPr>
          <w:rFonts w:ascii="Times New Roman" w:eastAsia="Times New Roman" w:hAnsi="Times New Roman"/>
          <w:noProof/>
          <w:color w:val="000000"/>
          <w:sz w:val="22"/>
          <w:szCs w:val="22"/>
          <w:bdr w:val="none" w:sz="0" w:space="0" w:color="auto" w:frame="1"/>
          <w:lang w:val="en-US" w:eastAsia="en-US"/>
        </w:rPr>
        <w:drawing>
          <wp:inline distT="0" distB="0" distL="0" distR="0" wp14:anchorId="15AC61C2" wp14:editId="5BE20D0C">
            <wp:extent cx="5295900" cy="3448050"/>
            <wp:effectExtent l="0" t="0" r="0" b="0"/>
            <wp:docPr id="24" name="Picture 24" descr="https://lh5.googleusercontent.com/3SgF_RAEz13b6fZTMi0ECneLj9DX7YYiu_NFJZnjBQYHfaMzIB1egrF00po2CCP4zInpcfqt0RayccXLQqRwIWFleqM8-uXgFbxh3TGNwTMIsX0Wh_GW2HNimS6V2cdo-w4WHG6tHGqIxQ4_qUgDS1VZlLroRoHxx8s02Gf43MnbpAeQDrHLoXEw80gQ1spfw5MmkKi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SgF_RAEz13b6fZTMi0ECneLj9DX7YYiu_NFJZnjBQYHfaMzIB1egrF00po2CCP4zInpcfqt0RayccXLQqRwIWFleqM8-uXgFbxh3TGNwTMIsX0Wh_GW2HNimS6V2cdo-w4WHG6tHGqIxQ4_qUgDS1VZlLroRoHxx8s02Gf43MnbpAeQDrHLoXEw80gQ1spfw5MmkKiLI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1721" cy="3451840"/>
                    </a:xfrm>
                    <a:prstGeom prst="rect">
                      <a:avLst/>
                    </a:prstGeom>
                    <a:noFill/>
                    <a:ln>
                      <a:noFill/>
                    </a:ln>
                  </pic:spPr>
                </pic:pic>
              </a:graphicData>
            </a:graphic>
          </wp:inline>
        </w:drawing>
      </w:r>
    </w:p>
    <w:p w14:paraId="415653BC" w14:textId="41DF5E45" w:rsidR="001356CF" w:rsidRPr="00DF613C" w:rsidRDefault="001356CF" w:rsidP="00360444">
      <w:pPr>
        <w:widowControl w:val="0"/>
        <w:autoSpaceDE w:val="0"/>
        <w:autoSpaceDN w:val="0"/>
        <w:spacing w:before="40"/>
        <w:jc w:val="both"/>
        <w:rPr>
          <w:rFonts w:ascii="Times New Roman" w:eastAsia="Times New Roman" w:hAnsi="Times New Roman"/>
          <w:sz w:val="22"/>
          <w:szCs w:val="22"/>
        </w:rPr>
      </w:pPr>
      <w:r w:rsidRPr="00DF613C">
        <w:rPr>
          <w:rFonts w:ascii="Times New Roman" w:eastAsia="Times New Roman" w:hAnsi="Times New Roman"/>
          <w:noProof/>
          <w:color w:val="000000"/>
          <w:sz w:val="22"/>
          <w:szCs w:val="22"/>
          <w:bdr w:val="none" w:sz="0" w:space="0" w:color="auto" w:frame="1"/>
          <w:lang w:val="en-US" w:eastAsia="en-US"/>
        </w:rPr>
        <w:drawing>
          <wp:inline distT="0" distB="0" distL="0" distR="0" wp14:anchorId="561D9EF4" wp14:editId="0C1B7014">
            <wp:extent cx="5473700" cy="1940859"/>
            <wp:effectExtent l="0" t="0" r="0" b="2540"/>
            <wp:docPr id="2" name="Picture 2" descr="https://lh3.googleusercontent.com/fp5NT-mfz6VjMk2oNvEX3OCwo_bIlt9ZFxIqvePz7S-GE-ek5v2mF-Vm7A3Wl4d54g9f2z5UaGZiRfNwT4-GZhY8G_bC5boVNlsS_icL3pHPpQEXa3j6irE2EI0GWQi84JApARrXi6VALYh3q9JVuw6vn1LBpRUhLEg7G59u7bJwq8BX7NOBgHeELb0UPUuOjFK_GzSh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p5NT-mfz6VjMk2oNvEX3OCwo_bIlt9ZFxIqvePz7S-GE-ek5v2mF-Vm7A3Wl4d54g9f2z5UaGZiRfNwT4-GZhY8G_bC5boVNlsS_icL3pHPpQEXa3j6irE2EI0GWQi84JApARrXi6VALYh3q9JVuw6vn1LBpRUhLEg7G59u7bJwq8BX7NOBgHeELb0UPUuOjFK_GzShW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021" cy="1943100"/>
                    </a:xfrm>
                    <a:prstGeom prst="rect">
                      <a:avLst/>
                    </a:prstGeom>
                    <a:noFill/>
                    <a:ln>
                      <a:noFill/>
                    </a:ln>
                  </pic:spPr>
                </pic:pic>
              </a:graphicData>
            </a:graphic>
          </wp:inline>
        </w:drawing>
      </w:r>
    </w:p>
    <w:p w14:paraId="589CBC29" w14:textId="77777777" w:rsidR="001356CF" w:rsidRPr="00DF613C" w:rsidRDefault="001356CF" w:rsidP="00360444">
      <w:pPr>
        <w:widowControl w:val="0"/>
        <w:autoSpaceDE w:val="0"/>
        <w:autoSpaceDN w:val="0"/>
        <w:spacing w:before="40"/>
        <w:jc w:val="both"/>
        <w:rPr>
          <w:rFonts w:ascii="Times New Roman" w:eastAsia="Times New Roman" w:hAnsi="Times New Roman"/>
          <w:sz w:val="22"/>
          <w:szCs w:val="22"/>
        </w:rPr>
      </w:pPr>
    </w:p>
    <w:p w14:paraId="27D732C2" w14:textId="77777777" w:rsidR="001356CF"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Figure 1: Experimental fish pond</w:t>
      </w:r>
    </w:p>
    <w:p w14:paraId="522D2574" w14:textId="77777777" w:rsidR="00496A49" w:rsidRPr="00DF613C" w:rsidRDefault="00496A49" w:rsidP="00360444">
      <w:pPr>
        <w:widowControl w:val="0"/>
        <w:autoSpaceDE w:val="0"/>
        <w:autoSpaceDN w:val="0"/>
        <w:jc w:val="both"/>
        <w:rPr>
          <w:rFonts w:ascii="Times New Roman" w:eastAsia="Times New Roman" w:hAnsi="Times New Roman"/>
          <w:sz w:val="22"/>
          <w:szCs w:val="22"/>
        </w:rPr>
      </w:pPr>
    </w:p>
    <w:p w14:paraId="31BA6036" w14:textId="77777777" w:rsidR="001356CF" w:rsidRPr="00DF613C" w:rsidRDefault="001356CF" w:rsidP="00360444">
      <w:pPr>
        <w:widowControl w:val="0"/>
        <w:autoSpaceDE w:val="0"/>
        <w:autoSpaceDN w:val="0"/>
        <w:spacing w:before="40" w:after="240"/>
        <w:jc w:val="both"/>
        <w:rPr>
          <w:rFonts w:ascii="Times New Roman" w:eastAsia="Times New Roman" w:hAnsi="Times New Roman"/>
          <w:b/>
          <w:bCs/>
          <w:color w:val="000000"/>
          <w:sz w:val="22"/>
          <w:szCs w:val="22"/>
        </w:rPr>
        <w:sectPr w:rsidR="001356CF" w:rsidRPr="00DF613C" w:rsidSect="00360444">
          <w:type w:val="continuous"/>
          <w:pgSz w:w="11907" w:h="16839" w:code="9"/>
          <w:pgMar w:top="1440" w:right="1440" w:bottom="1440" w:left="1440" w:header="720" w:footer="720" w:gutter="0"/>
          <w:cols w:space="720"/>
          <w:docGrid w:linePitch="360"/>
        </w:sectPr>
      </w:pPr>
    </w:p>
    <w:p w14:paraId="05C2FFB1" w14:textId="507F27C0" w:rsidR="001356CF" w:rsidRPr="00DF613C" w:rsidRDefault="001356CF" w:rsidP="00360444">
      <w:pPr>
        <w:pStyle w:val="ListParagraph"/>
        <w:widowControl w:val="0"/>
        <w:numPr>
          <w:ilvl w:val="1"/>
          <w:numId w:val="4"/>
        </w:numPr>
        <w:autoSpaceDE w:val="0"/>
        <w:autoSpaceDN w:val="0"/>
        <w:spacing w:before="40" w:after="24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lastRenderedPageBreak/>
        <w:t>Experimental fish collection, Sex identification, Measuring, and Stocking</w:t>
      </w:r>
    </w:p>
    <w:p w14:paraId="24D7DA28" w14:textId="5C755C29" w:rsidR="001356CF" w:rsidRPr="00DF613C" w:rsidRDefault="001356CF" w:rsidP="00360444">
      <w:pPr>
        <w:pStyle w:val="ListParagraph"/>
        <w:widowControl w:val="0"/>
        <w:numPr>
          <w:ilvl w:val="2"/>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iCs/>
          <w:color w:val="000000"/>
          <w:sz w:val="22"/>
          <w:szCs w:val="22"/>
        </w:rPr>
        <w:t>Experimental fish collection</w:t>
      </w:r>
    </w:p>
    <w:p w14:paraId="07D8F47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A total of four hundred fifty </w:t>
      </w:r>
      <w:r w:rsidRPr="00DF613C">
        <w:rPr>
          <w:rFonts w:ascii="Times New Roman" w:eastAsia="Times New Roman" w:hAnsi="Times New Roman"/>
          <w:i/>
          <w:iCs/>
          <w:color w:val="000000"/>
          <w:sz w:val="22"/>
          <w:szCs w:val="22"/>
        </w:rPr>
        <w:t xml:space="preserve">O. niloticus </w:t>
      </w:r>
      <w:r w:rsidRPr="00DF613C">
        <w:rPr>
          <w:rFonts w:ascii="Times New Roman" w:eastAsia="Times New Roman" w:hAnsi="Times New Roman"/>
          <w:color w:val="000000"/>
          <w:sz w:val="22"/>
          <w:szCs w:val="22"/>
        </w:rPr>
        <w:t>fingerings were collected from</w:t>
      </w:r>
      <w:r w:rsidRPr="00DF613C">
        <w:rPr>
          <w:rFonts w:ascii="Times New Roman" w:eastAsia="Times New Roman" w:hAnsi="Times New Roman"/>
          <w:color w:val="000000"/>
          <w:sz w:val="22"/>
          <w:szCs w:val="22"/>
          <w:vertAlign w:val="superscript"/>
        </w:rPr>
        <w:t xml:space="preserve"> </w:t>
      </w:r>
      <w:r w:rsidRPr="00DF613C">
        <w:rPr>
          <w:rFonts w:ascii="Times New Roman" w:eastAsia="Times New Roman" w:hAnsi="Times New Roman"/>
          <w:color w:val="000000"/>
          <w:sz w:val="22"/>
          <w:szCs w:val="22"/>
        </w:rPr>
        <w:t>Bahir Dar Fishery and Other Aquatic Life Research Center fish multiplication ponds using a beach seine net with a mean length of 11.42± 0.12 cm, and the mean weight of the fingerlings was 26.31 ± 0.06. </w:t>
      </w:r>
    </w:p>
    <w:p w14:paraId="292855F3" w14:textId="77777777" w:rsidR="001356CF" w:rsidRPr="00DF613C" w:rsidRDefault="001356CF" w:rsidP="00360444">
      <w:pPr>
        <w:widowControl w:val="0"/>
        <w:autoSpaceDE w:val="0"/>
        <w:autoSpaceDN w:val="0"/>
        <w:jc w:val="both"/>
        <w:rPr>
          <w:rFonts w:ascii="Times New Roman" w:eastAsia="Times New Roman" w:hAnsi="Times New Roman"/>
          <w:b/>
          <w:bCs/>
          <w:iCs/>
          <w:color w:val="000000"/>
          <w:sz w:val="22"/>
          <w:szCs w:val="22"/>
        </w:rPr>
      </w:pPr>
    </w:p>
    <w:p w14:paraId="0B760C65" w14:textId="2BFFD815"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iCs/>
          <w:color w:val="000000"/>
          <w:sz w:val="22"/>
          <w:szCs w:val="22"/>
        </w:rPr>
        <w:t>Sex identification of experimental fish </w:t>
      </w:r>
    </w:p>
    <w:p w14:paraId="4AC62C3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Before stocking, sex identification was done manually through the inspection of their genital organs visually and with the aid of magnifying hand lens. The relatively higher initial body weight of fish was intentional to reduce the percentage of errors in identifying the sexes of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Fish with opening and genital papillae are males and were selected for this experiment and those with two openings are females and shall be sent back. </w:t>
      </w:r>
    </w:p>
    <w:p w14:paraId="2F9C5783" w14:textId="77777777" w:rsidR="001356CF" w:rsidRPr="00DF613C" w:rsidRDefault="001356CF" w:rsidP="00360444">
      <w:pPr>
        <w:widowControl w:val="0"/>
        <w:autoSpaceDE w:val="0"/>
        <w:autoSpaceDN w:val="0"/>
        <w:jc w:val="both"/>
        <w:rPr>
          <w:rFonts w:ascii="Times New Roman" w:eastAsia="Times New Roman" w:hAnsi="Times New Roman"/>
          <w:b/>
          <w:bCs/>
          <w:iCs/>
          <w:color w:val="000000"/>
          <w:sz w:val="22"/>
          <w:szCs w:val="22"/>
        </w:rPr>
      </w:pPr>
    </w:p>
    <w:p w14:paraId="1BD60247" w14:textId="33C1FD65"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iCs/>
          <w:color w:val="000000"/>
          <w:sz w:val="22"/>
          <w:szCs w:val="22"/>
        </w:rPr>
        <w:t>Measuring and stocking of experimental fish</w:t>
      </w:r>
    </w:p>
    <w:p w14:paraId="72677F7A" w14:textId="4AE7ED08"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All the experimental fishes in each treatment group were measured in weight and length at the start (stocking) using an electronic weighing balance (WAGTEGH Model SKX2201) with 0.01 g precision and a measuring board with 0.01 cm and recorded in a recording sheet. The mean initial weight of 3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was 26.31 ± 0.06, 26.28 ± 0.08, and 26.33 ± 0.1 for 5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and 7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respectively. The mean initial lengths were 11.42± 0.12 cm, 11.44±0.04 cm, and 11.47±0.6 cm for 3, 5, and 7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respectively. There was no significant difference between treatments in terms of initial weight and length of the fingerlings at stocking by using fisher’s LSD test. The experimental fish fingerlings were acclimatized in ponds for about two weeks before starting the actual experiment.</w:t>
      </w:r>
    </w:p>
    <w:p w14:paraId="41901AA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p w14:paraId="505B5534" w14:textId="77777777" w:rsidR="001356CF" w:rsidRPr="00DF613C" w:rsidRDefault="001356CF" w:rsidP="00360444">
      <w:pPr>
        <w:widowControl w:val="0"/>
        <w:autoSpaceDE w:val="0"/>
        <w:autoSpaceDN w:val="0"/>
        <w:jc w:val="both"/>
        <w:rPr>
          <w:rFonts w:ascii="Times New Roman" w:eastAsia="Times New Roman" w:hAnsi="Times New Roman"/>
          <w:b/>
          <w:bCs/>
          <w:color w:val="00B050"/>
          <w:kern w:val="24"/>
          <w:sz w:val="22"/>
          <w:szCs w:val="22"/>
        </w:rPr>
      </w:pP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64384" behindDoc="0" locked="0" layoutInCell="1" allowOverlap="1" wp14:anchorId="322E0865" wp14:editId="2B04DCAA">
                <wp:simplePos x="0" y="0"/>
                <wp:positionH relativeFrom="column">
                  <wp:posOffset>3767869</wp:posOffset>
                </wp:positionH>
                <wp:positionV relativeFrom="paragraph">
                  <wp:posOffset>1991830</wp:posOffset>
                </wp:positionV>
                <wp:extent cx="419100" cy="339090"/>
                <wp:effectExtent l="76200" t="57150" r="76200" b="99060"/>
                <wp:wrapNone/>
                <wp:docPr id="19"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419100" cy="339090"/>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9FB089" w14:textId="77777777" w:rsidR="001356CF" w:rsidRDefault="001356CF" w:rsidP="001356CF">
                            <w:pPr>
                              <w:pStyle w:val="NormalWeb"/>
                              <w:spacing w:after="0"/>
                            </w:pPr>
                            <w:r>
                              <w:rPr>
                                <w:b/>
                                <w:bCs/>
                                <w:color w:val="00B050"/>
                                <w:kern w:val="24"/>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2E0865" id="Rounded Rectangle 26" o:spid="_x0000_s1027" style="position:absolute;left:0;text-align:left;margin-left:296.7pt;margin-top:156.85pt;width:33pt;height:26.7pt;rotation:-65249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" fillcolor="#f2dcdb">
                <v:shadow on="t" color="black" opacity="24903f" origin=",.5" offset="0,.55556mm"/>
                <v:path arrowok="t"/>
                <v:textbox>
                  <w:txbxContent>
                    <w:p w14:paraId="499FB089" w14:textId="77777777" w:rsidR="001356CF" w:rsidRDefault="001356CF" w:rsidP="001356CF">
                      <w:pPr>
                        <w:pStyle w:val="NormalWeb"/>
                        <w:spacing w:after="0"/>
                      </w:pPr>
                      <w:r>
                        <w:rPr>
                          <w:b/>
                          <w:bCs/>
                          <w:color w:val="00B050"/>
                          <w:kern w:val="24"/>
                        </w:rPr>
                        <w:t>c</w:t>
                      </w:r>
                    </w:p>
                  </w:txbxContent>
                </v:textbox>
              </v:roundrect>
            </w:pict>
          </mc:Fallback>
        </mc:AlternateContent>
      </w: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62336" behindDoc="0" locked="0" layoutInCell="1" allowOverlap="1" wp14:anchorId="749234A8" wp14:editId="27FAF523">
                <wp:simplePos x="0" y="0"/>
                <wp:positionH relativeFrom="column">
                  <wp:posOffset>2728071</wp:posOffset>
                </wp:positionH>
                <wp:positionV relativeFrom="paragraph">
                  <wp:posOffset>2037604</wp:posOffset>
                </wp:positionV>
                <wp:extent cx="419100" cy="339090"/>
                <wp:effectExtent l="76200" t="57150" r="76200" b="99060"/>
                <wp:wrapNone/>
                <wp:docPr id="3"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419100" cy="339090"/>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BF9167E" w14:textId="77777777" w:rsidR="001356CF" w:rsidRDefault="001356CF" w:rsidP="001356CF">
                            <w:pPr>
                              <w:pStyle w:val="NormalWeb"/>
                            </w:pPr>
                            <w:r>
                              <w:rPr>
                                <w:b/>
                                <w:bCs/>
                                <w:color w:val="00B050"/>
                                <w:kern w:val="24"/>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49234A8" id="_x0000_s1028" style="position:absolute;left:0;text-align:left;margin-left:214.8pt;margin-top:160.45pt;width:33pt;height:26.7pt;rotation:-65249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" fillcolor="#f2dcdb">
                <v:shadow on="t" color="black" opacity="24903f" origin=",.5" offset="0,.55556mm"/>
                <v:path arrowok="t"/>
                <v:textbox>
                  <w:txbxContent>
                    <w:p w14:paraId="6BF9167E" w14:textId="77777777" w:rsidR="001356CF" w:rsidRDefault="001356CF" w:rsidP="001356CF">
                      <w:pPr>
                        <w:pStyle w:val="NormalWeb"/>
                      </w:pPr>
                      <w:r>
                        <w:rPr>
                          <w:b/>
                          <w:bCs/>
                          <w:color w:val="00B050"/>
                          <w:kern w:val="24"/>
                        </w:rPr>
                        <w:t>b</w:t>
                      </w:r>
                    </w:p>
                  </w:txbxContent>
                </v:textbox>
              </v:roundrect>
            </w:pict>
          </mc:Fallback>
        </mc:AlternateContent>
      </w: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63360" behindDoc="0" locked="0" layoutInCell="1" allowOverlap="1" wp14:anchorId="619B0CF7" wp14:editId="144D43FD">
                <wp:simplePos x="0" y="0"/>
                <wp:positionH relativeFrom="column">
                  <wp:posOffset>1293495</wp:posOffset>
                </wp:positionH>
                <wp:positionV relativeFrom="paragraph">
                  <wp:posOffset>2040890</wp:posOffset>
                </wp:positionV>
                <wp:extent cx="419100" cy="339090"/>
                <wp:effectExtent l="76200" t="57150" r="76200" b="99060"/>
                <wp:wrapNone/>
                <wp:docPr id="18"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419100" cy="339090"/>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27C9F5A" w14:textId="77777777" w:rsidR="001356CF" w:rsidRDefault="001356CF" w:rsidP="001356CF">
                            <w:pPr>
                              <w:pStyle w:val="NormalWeb"/>
                              <w:spacing w:after="0"/>
                            </w:pPr>
                            <w:r>
                              <w:rPr>
                                <w:b/>
                                <w:bCs/>
                                <w:color w:val="00B050"/>
                                <w:kern w:val="24"/>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9B0CF7" id="_x0000_s1029" style="position:absolute;left:0;text-align:left;margin-left:101.85pt;margin-top:160.7pt;width:33pt;height:26.7pt;rotation:-65249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" fillcolor="#f2dcdb">
                <v:shadow on="t" color="black" opacity="24903f" origin=",.5" offset="0,.55556mm"/>
                <v:path arrowok="t"/>
                <v:textbox>
                  <w:txbxContent>
                    <w:p w14:paraId="427C9F5A" w14:textId="77777777" w:rsidR="001356CF" w:rsidRDefault="001356CF" w:rsidP="001356CF">
                      <w:pPr>
                        <w:pStyle w:val="NormalWeb"/>
                        <w:spacing w:after="0"/>
                      </w:pPr>
                      <w:r>
                        <w:rPr>
                          <w:b/>
                          <w:bCs/>
                          <w:color w:val="00B050"/>
                          <w:kern w:val="24"/>
                        </w:rPr>
                        <w:t>a</w:t>
                      </w:r>
                    </w:p>
                  </w:txbxContent>
                </v:textbox>
              </v:roundrect>
            </w:pict>
          </mc:Fallback>
        </mc:AlternateContent>
      </w: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65408" behindDoc="0" locked="0" layoutInCell="1" allowOverlap="1" wp14:anchorId="7335F5BB" wp14:editId="7821094E">
                <wp:simplePos x="0" y="0"/>
                <wp:positionH relativeFrom="column">
                  <wp:posOffset>5016500</wp:posOffset>
                </wp:positionH>
                <wp:positionV relativeFrom="paragraph">
                  <wp:posOffset>2074545</wp:posOffset>
                </wp:positionV>
                <wp:extent cx="419100" cy="339090"/>
                <wp:effectExtent l="76200" t="57150" r="76200" b="99060"/>
                <wp:wrapNone/>
                <wp:docPr id="20"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419100" cy="339090"/>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3114A2D" w14:textId="77777777" w:rsidR="001356CF" w:rsidRDefault="001356CF" w:rsidP="001356CF">
                            <w:pPr>
                              <w:pStyle w:val="NormalWeb"/>
                              <w:spacing w:after="0"/>
                            </w:pPr>
                            <w:r>
                              <w:rPr>
                                <w:b/>
                                <w:bCs/>
                                <w:color w:val="00B050"/>
                                <w:kern w:val="24"/>
                              </w:rPr>
                              <w:t>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335F5BB" id="_x0000_s1030" style="position:absolute;left:0;text-align:left;margin-left:395pt;margin-top:163.35pt;width:33pt;height:26.7pt;rotation:-65249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" fillcolor="#f2dcdb">
                <v:shadow on="t" color="black" opacity="24903f" origin=",.5" offset="0,.55556mm"/>
                <v:path arrowok="t"/>
                <v:textbox>
                  <w:txbxContent>
                    <w:p w14:paraId="33114A2D" w14:textId="77777777" w:rsidR="001356CF" w:rsidRDefault="001356CF" w:rsidP="001356CF">
                      <w:pPr>
                        <w:pStyle w:val="NormalWeb"/>
                        <w:spacing w:after="0"/>
                      </w:pPr>
                      <w:r>
                        <w:rPr>
                          <w:b/>
                          <w:bCs/>
                          <w:color w:val="00B050"/>
                          <w:kern w:val="24"/>
                        </w:rPr>
                        <w:t>d</w:t>
                      </w:r>
                    </w:p>
                  </w:txbxContent>
                </v:textbox>
              </v:roundrect>
            </w:pict>
          </mc:Fallback>
        </mc:AlternateContent>
      </w:r>
      <w:r w:rsidRPr="00DF613C">
        <w:rPr>
          <w:rFonts w:ascii="Times New Roman" w:eastAsia="Times New Roman" w:hAnsi="Times New Roman"/>
          <w:i/>
          <w:iCs/>
          <w:noProof/>
          <w:color w:val="000000"/>
          <w:sz w:val="22"/>
          <w:szCs w:val="22"/>
          <w:bdr w:val="none" w:sz="0" w:space="0" w:color="auto" w:frame="1"/>
          <w:lang w:val="en-US" w:eastAsia="en-US"/>
        </w:rPr>
        <w:drawing>
          <wp:inline distT="0" distB="0" distL="0" distR="0" wp14:anchorId="266EF7A3" wp14:editId="0A1EFD43">
            <wp:extent cx="1828800" cy="2328848"/>
            <wp:effectExtent l="0" t="0" r="0" b="0"/>
            <wp:docPr id="27" name="Picture 27" descr="https://lh3.googleusercontent.com/U5x6V_3rZoLsaozsgm8jHt4DgJKubtS7R-Ux5wrYNIrpYuNIZfiNi48VkwVwmMDpN4r0BxPSuqEA52RkO3z97wyKSUbkTbIDBHfK9aR6UWAiMmthjGivT167GA8-6M9iF8HDSMblSZSB-xXEUQk5JVIKFvWbbwlE1lVBd3E4jqV_nz_BuC2MkAiNleTickO0Ad2K_ys6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5x6V_3rZoLsaozsgm8jHt4DgJKubtS7R-Ux5wrYNIrpYuNIZfiNi48VkwVwmMDpN4r0BxPSuqEA52RkO3z97wyKSUbkTbIDBHfK9aR6UWAiMmthjGivT167GA8-6M9iF8HDSMblSZSB-xXEUQk5JVIKFvWbbwlE1lVBd3E4jqV_nz_BuC2MkAiNleTickO0Ad2K_ys6F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9038" cy="2329151"/>
                    </a:xfrm>
                    <a:prstGeom prst="rect">
                      <a:avLst/>
                    </a:prstGeom>
                    <a:noFill/>
                    <a:ln>
                      <a:noFill/>
                    </a:ln>
                  </pic:spPr>
                </pic:pic>
              </a:graphicData>
            </a:graphic>
          </wp:inline>
        </w:drawing>
      </w:r>
      <w:r w:rsidRPr="00DF613C">
        <w:rPr>
          <w:rFonts w:ascii="Times New Roman" w:eastAsia="Times New Roman" w:hAnsi="Times New Roman"/>
          <w:noProof/>
          <w:color w:val="000000"/>
          <w:sz w:val="22"/>
          <w:szCs w:val="22"/>
          <w:bdr w:val="none" w:sz="0" w:space="0" w:color="auto" w:frame="1"/>
          <w:lang w:val="en-US" w:eastAsia="en-US"/>
        </w:rPr>
        <w:drawing>
          <wp:inline distT="0" distB="0" distL="0" distR="0" wp14:anchorId="61E6AD08" wp14:editId="698906DD">
            <wp:extent cx="1463040" cy="2327982"/>
            <wp:effectExtent l="0" t="0" r="3810" b="0"/>
            <wp:docPr id="33" name="Picture 33" descr="https://lh4.googleusercontent.com/DFlZEGWhhIQneKr1Idg_xuOsjsVEDaOCu9U11QP3VLuvTmfWK_p--LRLHSsU9zrQbbEh-VnE2DqnVOmULxpafG98fD1Y5b23w95M9KN3G-JdR7GFB9VE6KRiuG1BQ5kXR6YXF2yUqZmeDO22CuUpNWRzPxEsXwENW3CjVxtiO4qzTUISrvDWcPtYq1zIiPtQfywptJ3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DFlZEGWhhIQneKr1Idg_xuOsjsVEDaOCu9U11QP3VLuvTmfWK_p--LRLHSsU9zrQbbEh-VnE2DqnVOmULxpafG98fD1Y5b23w95M9KN3G-JdR7GFB9VE6KRiuG1BQ5kXR6YXF2yUqZmeDO22CuUpNWRzPxEsXwENW3CjVxtiO4qzTUISrvDWcPtYq1zIiPtQfywptJ3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2327982"/>
                    </a:xfrm>
                    <a:prstGeom prst="rect">
                      <a:avLst/>
                    </a:prstGeom>
                    <a:noFill/>
                    <a:ln>
                      <a:noFill/>
                    </a:ln>
                  </pic:spPr>
                </pic:pic>
              </a:graphicData>
            </a:graphic>
          </wp:inline>
        </w:drawing>
      </w:r>
      <w:r w:rsidRPr="00DF613C">
        <w:rPr>
          <w:rFonts w:ascii="Times New Roman" w:eastAsia="Times New Roman" w:hAnsi="Times New Roman"/>
          <w:noProof/>
          <w:color w:val="000000"/>
          <w:sz w:val="22"/>
          <w:szCs w:val="22"/>
          <w:bdr w:val="none" w:sz="0" w:space="0" w:color="auto" w:frame="1"/>
          <w:lang w:val="en-US" w:eastAsia="en-US"/>
        </w:rPr>
        <w:drawing>
          <wp:inline distT="0" distB="0" distL="0" distR="0" wp14:anchorId="48D928E5" wp14:editId="4E02C683">
            <wp:extent cx="1097280" cy="2329471"/>
            <wp:effectExtent l="0" t="0" r="7620" b="0"/>
            <wp:docPr id="5" name="Picture 5" descr="https://lh5.googleusercontent.com/K4BWBtaO-yU1pgMW1nwWxPK4Q4YF2mo7cX6wLCxogqV344vz3Iq2jcatKQNZZEv3ydP5ODnpYVrnJS3IyQD2F3K9UnBrdHbjacIO4tgMCvH4rAUZfBGumUbeG6FTSMc7Y3SuEKTjrcu9FcWB3U9DX7odvvIyB0lYi7znIlGfCT_5uxVZu_vU-tJkdbL4OG4msZ-M4_1X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4BWBtaO-yU1pgMW1nwWxPK4Q4YF2mo7cX6wLCxogqV344vz3Iq2jcatKQNZZEv3ydP5ODnpYVrnJS3IyQD2F3K9UnBrdHbjacIO4tgMCvH4rAUZfBGumUbeG6FTSMc7Y3SuEKTjrcu9FcWB3U9DX7odvvIyB0lYi7znIlGfCT_5uxVZu_vU-tJkdbL4OG4msZ-M4_1XQ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2329471"/>
                    </a:xfrm>
                    <a:prstGeom prst="rect">
                      <a:avLst/>
                    </a:prstGeom>
                    <a:noFill/>
                    <a:ln>
                      <a:noFill/>
                    </a:ln>
                  </pic:spPr>
                </pic:pic>
              </a:graphicData>
            </a:graphic>
          </wp:inline>
        </w:drawing>
      </w:r>
      <w:r w:rsidRPr="00DF613C">
        <w:rPr>
          <w:rFonts w:ascii="Times New Roman" w:eastAsia="Times New Roman" w:hAnsi="Times New Roman"/>
          <w:b/>
          <w:bCs/>
          <w:i/>
          <w:iCs/>
          <w:noProof/>
          <w:color w:val="000000"/>
          <w:sz w:val="22"/>
          <w:szCs w:val="22"/>
          <w:bdr w:val="none" w:sz="0" w:space="0" w:color="auto" w:frame="1"/>
          <w:lang w:val="en-US" w:eastAsia="en-US"/>
        </w:rPr>
        <w:drawing>
          <wp:inline distT="0" distB="0" distL="0" distR="0" wp14:anchorId="5B8669F4" wp14:editId="4E9B91BA">
            <wp:extent cx="1188585" cy="2327220"/>
            <wp:effectExtent l="0" t="0" r="0" b="0"/>
            <wp:docPr id="6" name="Picture 6" descr="D:\current use thsis file\Photo\photo_2022-05-03_14-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urrent use thsis file\Photo\photo_2022-05-03_14-26-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221" cy="2330423"/>
                    </a:xfrm>
                    <a:prstGeom prst="rect">
                      <a:avLst/>
                    </a:prstGeom>
                    <a:noFill/>
                    <a:ln>
                      <a:noFill/>
                    </a:ln>
                  </pic:spPr>
                </pic:pic>
              </a:graphicData>
            </a:graphic>
          </wp:inline>
        </w:drawing>
      </w:r>
    </w:p>
    <w:p w14:paraId="44EAE4F3" w14:textId="1A9F362F" w:rsidR="00DF613C" w:rsidRPr="00EF2250" w:rsidRDefault="001356CF" w:rsidP="00EF2250">
      <w:pPr>
        <w:widowControl w:val="0"/>
        <w:autoSpaceDE w:val="0"/>
        <w:autoSpaceDN w:val="0"/>
        <w:ind w:left="6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Figure 2: (a) Experimental fish collection (b and c) six identification (d) Measuring experimental fish</w:t>
      </w:r>
    </w:p>
    <w:p w14:paraId="504CAF70" w14:textId="00B11414"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Feed and feeding of the Experimental fish</w:t>
      </w:r>
    </w:p>
    <w:p w14:paraId="28F3421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The feed used during the experiment was commercial feed (Alema Koudijs’s animal feed). The feed was administered to fish at a rate of 5% of their body weight up to an average weight of 102 grams and then reduced to 3% of their body weight until finished the </w:t>
      </w:r>
      <w:r w:rsidRPr="00DF613C">
        <w:rPr>
          <w:rFonts w:ascii="Times New Roman" w:eastAsia="Times New Roman" w:hAnsi="Times New Roman"/>
          <w:color w:val="000000"/>
          <w:sz w:val="22"/>
          <w:szCs w:val="22"/>
        </w:rPr>
        <w:lastRenderedPageBreak/>
        <w:t xml:space="preserve">experiment </w:t>
      </w:r>
      <w:r w:rsidRPr="00DF613C">
        <w:rPr>
          <w:rFonts w:ascii="Times New Roman" w:eastAsia="Times New Roman" w:hAnsi="Times New Roman"/>
          <w:color w:val="222222"/>
          <w:sz w:val="22"/>
          <w:szCs w:val="22"/>
          <w:shd w:val="clear" w:color="auto" w:fill="FFFFFF"/>
        </w:rPr>
        <w:t xml:space="preserve">(Craig </w:t>
      </w:r>
      <w:r w:rsidRPr="00DF613C">
        <w:rPr>
          <w:rFonts w:ascii="Times New Roman" w:eastAsia="Times New Roman" w:hAnsi="Times New Roman"/>
          <w:i/>
          <w:iCs/>
          <w:color w:val="222222"/>
          <w:sz w:val="22"/>
          <w:szCs w:val="22"/>
          <w:shd w:val="clear" w:color="auto" w:fill="FFFFFF"/>
        </w:rPr>
        <w:t>et al</w:t>
      </w:r>
      <w:r w:rsidRPr="00DF613C">
        <w:rPr>
          <w:rFonts w:ascii="Times New Roman" w:eastAsia="Times New Roman" w:hAnsi="Times New Roman"/>
          <w:color w:val="222222"/>
          <w:sz w:val="22"/>
          <w:szCs w:val="22"/>
          <w:shd w:val="clear" w:color="auto" w:fill="FFFFFF"/>
        </w:rPr>
        <w:t xml:space="preserve"> 2017)</w:t>
      </w:r>
      <w:r w:rsidRPr="00DF613C">
        <w:rPr>
          <w:rFonts w:ascii="Times New Roman" w:eastAsia="Times New Roman" w:hAnsi="Times New Roman"/>
          <w:color w:val="000000"/>
          <w:sz w:val="22"/>
          <w:szCs w:val="22"/>
        </w:rPr>
        <w:t>. The ratio was split into two portions and fed twice a day morning at 10:00 pm and afternoon at 4:00 am (Chapman 2000) for 6 months. Feeding was done by hand at a constant place and time as this method enables regular inspection of the fish. The daily ration was then calculated and adjusted regularly according to the body weight gain of the fish every month. </w:t>
      </w:r>
    </w:p>
    <w:p w14:paraId="4118614D"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5F59A8E7" w14:textId="0A73372B"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A sampling of the Experimental fish</w:t>
      </w:r>
    </w:p>
    <w:p w14:paraId="0DB18F4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Experimental fishes were sampled every month using a seine net to observe and record their growth. During the period of sampling, the water level in each pond was first lowered and then, the fingerlings were caught using a scoop net and stocked in a bucket till their weight was recorded. According to the previous suggestions made (Zenebe Tadesse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2012), 30% of the experimental fishes were sampled from each pond. The sampled fish were handled carefully to avoid stress and their weight and length were recorded using an electronic weighing balance (WAGTEGH Model SKX2201) with 0.01 g precision and a fish length measuring board with 0.01 cm and recorded in a recording sheet. Once the relevant record was taken from individual fingerlings a fish was gently returned to its pond. At the end of the experiment, a harvest was made and the total fish produced in each pond was taken, and calculated the total biomass of the fish between different stocking densities.</w:t>
      </w:r>
    </w:p>
    <w:p w14:paraId="6FD20C60"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6831B58F" w14:textId="2D478EB1"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Growth parameters </w:t>
      </w:r>
    </w:p>
    <w:p w14:paraId="560F245C"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The growth performances of fish were determined and feed utilization was calculated as cited by</w:t>
      </w:r>
      <w:r w:rsidRPr="00DF613C">
        <w:rPr>
          <w:rFonts w:ascii="Times New Roman" w:eastAsia="Times New Roman" w:hAnsi="Times New Roman"/>
          <w:color w:val="222222"/>
          <w:sz w:val="22"/>
          <w:szCs w:val="22"/>
          <w:shd w:val="clear" w:color="auto" w:fill="FFFFFF"/>
        </w:rPr>
        <w:t xml:space="preserve"> </w:t>
      </w:r>
      <w:r w:rsidRPr="00DF613C">
        <w:rPr>
          <w:rFonts w:ascii="Times New Roman" w:eastAsia="Times New Roman" w:hAnsi="Times New Roman"/>
          <w:color w:val="000000"/>
          <w:sz w:val="22"/>
          <w:szCs w:val="22"/>
        </w:rPr>
        <w:t xml:space="preserve">Ridha (2006) and Alhasan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(2012) as follows;</w:t>
      </w:r>
    </w:p>
    <w:p w14:paraId="1DF2CF77"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Weight gain (WG) = Final weight (g) – Initial weight (g)  </w:t>
      </w:r>
    </w:p>
    <w:p w14:paraId="070DCD3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w:t>
      </w:r>
    </w:p>
    <w:p w14:paraId="4431CC32" w14:textId="77777777" w:rsidR="00AC11CF"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Daily growth rate (DGR) =   weight gained </w:t>
      </w:r>
    </w:p>
    <w:p w14:paraId="779B0E87" w14:textId="77777777" w:rsidR="00AC11CF" w:rsidRDefault="00AC11CF" w:rsidP="00360444">
      <w:pPr>
        <w:widowControl w:val="0"/>
        <w:autoSpaceDE w:val="0"/>
        <w:autoSpaceDN w:val="0"/>
        <w:jc w:val="both"/>
        <w:rPr>
          <w:rFonts w:ascii="Times New Roman" w:eastAsia="Times New Roman" w:hAnsi="Times New Roman"/>
          <w:color w:val="000000"/>
          <w:sz w:val="22"/>
          <w:szCs w:val="22"/>
        </w:rPr>
      </w:pPr>
    </w:p>
    <w:p w14:paraId="1289384C" w14:textId="77777777" w:rsidR="00AC11CF" w:rsidRDefault="00AC11CF" w:rsidP="00360444">
      <w:pPr>
        <w:widowControl w:val="0"/>
        <w:autoSpaceDE w:val="0"/>
        <w:autoSpaceDN w:val="0"/>
        <w:jc w:val="both"/>
        <w:rPr>
          <w:rFonts w:ascii="Times New Roman" w:eastAsia="Times New Roman" w:hAnsi="Times New Roman"/>
          <w:color w:val="000000"/>
          <w:sz w:val="22"/>
          <w:szCs w:val="22"/>
        </w:rPr>
      </w:pPr>
    </w:p>
    <w:p w14:paraId="6A079D95" w14:textId="4573694A"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(g)Culturing days</w:t>
      </w:r>
      <w:r w:rsidR="00AC11CF">
        <w:rPr>
          <w:rFonts w:ascii="Times New Roman" w:eastAsia="Times New Roman" w:hAnsi="Times New Roman"/>
          <w:color w:val="000000"/>
          <w:sz w:val="22"/>
          <w:szCs w:val="22"/>
        </w:rPr>
        <w:t xml:space="preserve"> </w:t>
      </w:r>
      <w:r w:rsidRPr="00DF613C">
        <w:rPr>
          <w:rFonts w:ascii="Times New Roman" w:eastAsia="Times New Roman" w:hAnsi="Times New Roman"/>
          <w:color w:val="000000"/>
          <w:sz w:val="22"/>
          <w:szCs w:val="22"/>
        </w:rPr>
        <w:t>Specific growth rate/day (SGR) =   In(final weight)- ln (Initial weight) Culturing period  </w:t>
      </w:r>
    </w:p>
    <w:p w14:paraId="326ACFA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Food Conversion Ratio (FCR) =   The total feed is given (g)Total Weight gain (g)</w:t>
      </w:r>
    </w:p>
    <w:p w14:paraId="46AE1110"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1ED17E43" w14:textId="1C146A08"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Total biomass and yield</w:t>
      </w:r>
    </w:p>
    <w:p w14:paraId="65E595F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Total biomass (BM) = Number of fish produced × Mean weight of fish</w:t>
      </w:r>
    </w:p>
    <w:p w14:paraId="33B65B4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Productivity or yield =NW/SA, Where N = the average number of fish produced, W= mean weight of fish, and SA = the surface area of the pond in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222222"/>
          <w:sz w:val="22"/>
          <w:szCs w:val="22"/>
          <w:shd w:val="clear" w:color="auto" w:fill="FFFFFF"/>
        </w:rPr>
        <w:t>(Alayu Yale 2018).</w:t>
      </w:r>
    </w:p>
    <w:p w14:paraId="75D97282"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320AE7C1" w14:textId="49B0C317"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Partial budget analysis</w:t>
      </w:r>
    </w:p>
    <w:p w14:paraId="67699A9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A partial budget analysis was performed to estimate the net profit from this culture operation. The fingerling price and feed costs were calculated. But, facility (fixed) costs and labor were not included in the analysis, because they were common for all experimental ponds. The selling price for the harvested fish was based on retail prices. Net profit for each treatment group was estimated using the following formulas:</w:t>
      </w:r>
    </w:p>
    <w:p w14:paraId="595DB8DA"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p>
    <w:p w14:paraId="7B895D0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Net profit (P) = GI – TC</w:t>
      </w:r>
    </w:p>
    <w:p w14:paraId="5FC2F3F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Where (TC) =Total costs of production = cost of fingerlings + cost of feed and </w:t>
      </w:r>
    </w:p>
    <w:p w14:paraId="55153DF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             (GI) =Gross income = total fish output × sales price (Hasan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2010)</w:t>
      </w:r>
    </w:p>
    <w:p w14:paraId="556A9625"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750EDF15" w14:textId="4AA55AED" w:rsidR="001356CF" w:rsidRPr="00DF613C" w:rsidRDefault="000118BA"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 xml:space="preserve">2.11. </w:t>
      </w:r>
      <w:r w:rsidR="001356CF" w:rsidRPr="00DF613C">
        <w:rPr>
          <w:rFonts w:ascii="Times New Roman" w:eastAsia="Times New Roman" w:hAnsi="Times New Roman"/>
          <w:b/>
          <w:bCs/>
          <w:color w:val="000000"/>
          <w:sz w:val="22"/>
          <w:szCs w:val="22"/>
        </w:rPr>
        <w:t>Statistical Analysis</w:t>
      </w:r>
    </w:p>
    <w:p w14:paraId="56911A1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SAS software was used to compute descriptive statistics and plot graphs. One-way Analysis of Variance (ANOVA) at α = 0.05 was further used to test the significant difference among mean values of the different stocking densities of male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on the various parameters and used Fisher’s LSD test to separate the means.  </w:t>
      </w:r>
    </w:p>
    <w:p w14:paraId="17A1FE88"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3CAE60A7" w14:textId="3A883577" w:rsidR="001356CF" w:rsidRPr="00DF613C" w:rsidRDefault="001356CF" w:rsidP="00360444">
      <w:pPr>
        <w:pStyle w:val="ListParagraph"/>
        <w:widowControl w:val="0"/>
        <w:numPr>
          <w:ilvl w:val="0"/>
          <w:numId w:val="4"/>
        </w:numPr>
        <w:autoSpaceDE w:val="0"/>
        <w:autoSpaceDN w:val="0"/>
        <w:spacing w:after="240"/>
        <w:ind w:firstLineChars="0"/>
        <w:jc w:val="both"/>
        <w:rPr>
          <w:rFonts w:ascii="Times New Roman" w:eastAsia="Times New Roman" w:hAnsi="Times New Roman"/>
          <w:b/>
          <w:bCs/>
          <w:color w:val="000000"/>
          <w:sz w:val="22"/>
          <w:szCs w:val="22"/>
        </w:rPr>
      </w:pPr>
      <w:r w:rsidRPr="00DF613C">
        <w:rPr>
          <w:rFonts w:ascii="Times New Roman" w:eastAsia="Times New Roman" w:hAnsi="Times New Roman"/>
          <w:b/>
          <w:bCs/>
          <w:color w:val="000000"/>
          <w:sz w:val="22"/>
          <w:szCs w:val="22"/>
        </w:rPr>
        <w:t>RESULTS AND DISCUSSIONS</w:t>
      </w:r>
    </w:p>
    <w:p w14:paraId="08BEB7D2" w14:textId="65DBA1A7"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Growth Performance</w:t>
      </w:r>
    </w:p>
    <w:p w14:paraId="179E9BE7"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The different growth parameters (the final body weight, the final body length, weight gain, daily growth rate, and specific growth rate of </w:t>
      </w:r>
      <w:r w:rsidRPr="00DF613C">
        <w:rPr>
          <w:rFonts w:ascii="Times New Roman" w:eastAsia="Times New Roman" w:hAnsi="Times New Roman"/>
          <w:i/>
          <w:iCs/>
          <w:color w:val="000000"/>
          <w:sz w:val="22"/>
          <w:szCs w:val="22"/>
        </w:rPr>
        <w:t>O.niloticus</w:t>
      </w:r>
      <w:r w:rsidRPr="00DF613C">
        <w:rPr>
          <w:rFonts w:ascii="Times New Roman" w:eastAsia="Times New Roman" w:hAnsi="Times New Roman"/>
          <w:color w:val="000000"/>
          <w:sz w:val="22"/>
          <w:szCs w:val="22"/>
        </w:rPr>
        <w:t xml:space="preserve"> fingerling) in all of the treatments at different stocking densities were taken (Table 1). The results showed that the different growth parameters of male </w:t>
      </w:r>
      <w:r w:rsidRPr="00DF613C">
        <w:rPr>
          <w:rFonts w:ascii="Times New Roman" w:eastAsia="Times New Roman" w:hAnsi="Times New Roman"/>
          <w:i/>
          <w:iCs/>
          <w:color w:val="000000"/>
          <w:sz w:val="22"/>
          <w:szCs w:val="22"/>
        </w:rPr>
        <w:t>O.niloticus</w:t>
      </w:r>
      <w:r w:rsidRPr="00DF613C">
        <w:rPr>
          <w:rFonts w:ascii="Times New Roman" w:eastAsia="Times New Roman" w:hAnsi="Times New Roman"/>
          <w:color w:val="000000"/>
          <w:sz w:val="22"/>
          <w:szCs w:val="22"/>
        </w:rPr>
        <w:t xml:space="preserve"> fingerling were significantly affected by stocking density (p &lt; 0.05). In all growth parameters, the highest value was attained at a density of 3 fingerlings</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followed by 5 and 7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w:t>
      </w:r>
    </w:p>
    <w:p w14:paraId="3ACFB1A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p w14:paraId="646567CE"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sectPr w:rsidR="001356CF" w:rsidRPr="00DF613C" w:rsidSect="00360444">
          <w:type w:val="continuous"/>
          <w:pgSz w:w="11907" w:h="16839" w:code="9"/>
          <w:pgMar w:top="1440" w:right="1440" w:bottom="1440" w:left="1440" w:header="720" w:footer="720" w:gutter="0"/>
          <w:cols w:num="2" w:space="720"/>
          <w:docGrid w:linePitch="360"/>
        </w:sectPr>
      </w:pPr>
    </w:p>
    <w:p w14:paraId="020CC97F"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sectPr w:rsidR="001356CF" w:rsidRPr="00DF613C" w:rsidSect="00360444">
          <w:type w:val="continuous"/>
          <w:pgSz w:w="11907" w:h="16839" w:code="9"/>
          <w:pgMar w:top="1440" w:right="1440" w:bottom="1440" w:left="1440" w:header="720" w:footer="720" w:gutter="0"/>
          <w:cols w:space="720"/>
          <w:docGrid w:linePitch="360"/>
        </w:sectPr>
      </w:pPr>
      <w:r w:rsidRPr="00DF613C">
        <w:rPr>
          <w:rFonts w:ascii="Times New Roman" w:eastAsia="Times New Roman" w:hAnsi="Times New Roman"/>
          <w:noProof/>
          <w:sz w:val="22"/>
          <w:szCs w:val="22"/>
          <w:lang w:val="en-US" w:eastAsia="en-US"/>
        </w:rPr>
        <w:lastRenderedPageBreak/>
        <w:drawing>
          <wp:inline distT="0" distB="0" distL="0" distR="0" wp14:anchorId="41326F7A" wp14:editId="46EB6C2B">
            <wp:extent cx="5513832" cy="2743200"/>
            <wp:effectExtent l="0" t="0" r="1079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DE369E" w14:textId="214C2AA5"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p>
    <w:p w14:paraId="03E23008"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Figure 4: Trend of growth in terms of weight </w:t>
      </w:r>
      <w:r w:rsidRPr="00DF613C">
        <w:rPr>
          <w:rFonts w:ascii="Times New Roman" w:eastAsia="Times New Roman" w:hAnsi="Times New Roman"/>
          <w:color w:val="000000"/>
          <w:sz w:val="22"/>
          <w:szCs w:val="22"/>
        </w:rPr>
        <w:t>(g).</w:t>
      </w:r>
    </w:p>
    <w:p w14:paraId="1759543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p w14:paraId="5E665E41"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sectPr w:rsidR="001356CF" w:rsidRPr="00DF613C" w:rsidSect="00360444">
          <w:type w:val="continuous"/>
          <w:pgSz w:w="11907" w:h="16839" w:code="9"/>
          <w:pgMar w:top="1440" w:right="1440" w:bottom="1440" w:left="1440" w:header="720" w:footer="720" w:gutter="0"/>
          <w:cols w:num="2" w:space="720"/>
          <w:docGrid w:linePitch="360"/>
        </w:sectPr>
      </w:pPr>
    </w:p>
    <w:p w14:paraId="7EE3BAFD" w14:textId="2ED938D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Table 1:</w:t>
      </w:r>
      <w:r w:rsidRPr="00DF613C">
        <w:rPr>
          <w:rFonts w:ascii="Times New Roman" w:eastAsia="Times New Roman" w:hAnsi="Times New Roman"/>
          <w:color w:val="000000"/>
          <w:sz w:val="22"/>
          <w:szCs w:val="22"/>
        </w:rPr>
        <w:t xml:space="preserve"> Summary of different growth parameters during culturing time </w:t>
      </w:r>
    </w:p>
    <w:tbl>
      <w:tblPr>
        <w:tblW w:w="9270" w:type="dxa"/>
        <w:tblCellMar>
          <w:top w:w="15" w:type="dxa"/>
          <w:left w:w="15" w:type="dxa"/>
          <w:bottom w:w="15" w:type="dxa"/>
          <w:right w:w="15" w:type="dxa"/>
        </w:tblCellMar>
        <w:tblLook w:val="04A0" w:firstRow="1" w:lastRow="0" w:firstColumn="1" w:lastColumn="0" w:noHBand="0" w:noVBand="1"/>
      </w:tblPr>
      <w:tblGrid>
        <w:gridCol w:w="2414"/>
        <w:gridCol w:w="1920"/>
        <w:gridCol w:w="1829"/>
        <w:gridCol w:w="1980"/>
        <w:gridCol w:w="1127"/>
      </w:tblGrid>
      <w:tr w:rsidR="001356CF" w:rsidRPr="00DF613C" w14:paraId="7F92C8BA" w14:textId="77777777" w:rsidTr="00BC5C5E">
        <w:trPr>
          <w:trHeight w:val="242"/>
        </w:trPr>
        <w:tc>
          <w:tcPr>
            <w:tcW w:w="0" w:type="auto"/>
            <w:vMerge w:val="restart"/>
            <w:tcBorders>
              <w:top w:val="single" w:sz="4" w:space="0" w:color="000000"/>
            </w:tcBorders>
            <w:tcMar>
              <w:top w:w="0" w:type="dxa"/>
              <w:left w:w="108" w:type="dxa"/>
              <w:bottom w:w="0" w:type="dxa"/>
              <w:right w:w="108" w:type="dxa"/>
            </w:tcMar>
            <w:hideMark/>
          </w:tcPr>
          <w:p w14:paraId="018965A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Growth parameter</w:t>
            </w:r>
          </w:p>
        </w:tc>
        <w:tc>
          <w:tcPr>
            <w:tcW w:w="5729" w:type="dxa"/>
            <w:gridSpan w:val="3"/>
            <w:tcBorders>
              <w:top w:val="single" w:sz="4" w:space="0" w:color="000000"/>
              <w:bottom w:val="single" w:sz="4" w:space="0" w:color="000000"/>
            </w:tcBorders>
            <w:tcMar>
              <w:top w:w="0" w:type="dxa"/>
              <w:left w:w="108" w:type="dxa"/>
              <w:bottom w:w="0" w:type="dxa"/>
              <w:right w:w="108" w:type="dxa"/>
            </w:tcMar>
            <w:hideMark/>
          </w:tcPr>
          <w:p w14:paraId="0F0CDD1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                          Stocking densities</w:t>
            </w:r>
          </w:p>
        </w:tc>
        <w:tc>
          <w:tcPr>
            <w:tcW w:w="1127" w:type="dxa"/>
            <w:tcBorders>
              <w:top w:val="single" w:sz="4" w:space="0" w:color="000000"/>
              <w:bottom w:val="single" w:sz="4" w:space="0" w:color="000000"/>
            </w:tcBorders>
            <w:tcMar>
              <w:top w:w="0" w:type="dxa"/>
              <w:left w:w="108" w:type="dxa"/>
              <w:bottom w:w="0" w:type="dxa"/>
              <w:right w:w="108" w:type="dxa"/>
            </w:tcMar>
            <w:hideMark/>
          </w:tcPr>
          <w:p w14:paraId="7B8A315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r>
      <w:tr w:rsidR="001356CF" w:rsidRPr="00DF613C" w14:paraId="32185BA3" w14:textId="77777777" w:rsidTr="00BC5C5E">
        <w:trPr>
          <w:trHeight w:val="380"/>
        </w:trPr>
        <w:tc>
          <w:tcPr>
            <w:tcW w:w="0" w:type="auto"/>
            <w:vMerge/>
            <w:tcBorders>
              <w:top w:val="single" w:sz="4" w:space="0" w:color="000000"/>
            </w:tcBorders>
            <w:vAlign w:val="center"/>
            <w:hideMark/>
          </w:tcPr>
          <w:p w14:paraId="3D2B76F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920" w:type="dxa"/>
            <w:tcBorders>
              <w:top w:val="single" w:sz="4" w:space="0" w:color="000000"/>
            </w:tcBorders>
            <w:tcMar>
              <w:top w:w="0" w:type="dxa"/>
              <w:left w:w="108" w:type="dxa"/>
              <w:bottom w:w="0" w:type="dxa"/>
              <w:right w:w="108" w:type="dxa"/>
            </w:tcMar>
            <w:hideMark/>
          </w:tcPr>
          <w:p w14:paraId="4780A5A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 3 fingerlings m</w:t>
            </w:r>
            <w:r w:rsidRPr="00DF613C">
              <w:rPr>
                <w:rFonts w:ascii="Times New Roman" w:eastAsia="Times New Roman" w:hAnsi="Times New Roman"/>
                <w:color w:val="000000"/>
                <w:sz w:val="22"/>
                <w:szCs w:val="22"/>
                <w:vertAlign w:val="superscript"/>
              </w:rPr>
              <w:t>-2</w:t>
            </w:r>
          </w:p>
        </w:tc>
        <w:tc>
          <w:tcPr>
            <w:tcW w:w="1829" w:type="dxa"/>
            <w:tcBorders>
              <w:top w:val="single" w:sz="4" w:space="0" w:color="000000"/>
            </w:tcBorders>
            <w:tcMar>
              <w:top w:w="0" w:type="dxa"/>
              <w:left w:w="108" w:type="dxa"/>
              <w:bottom w:w="0" w:type="dxa"/>
              <w:right w:w="108" w:type="dxa"/>
            </w:tcMar>
            <w:hideMark/>
          </w:tcPr>
          <w:p w14:paraId="2D5F8DB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 5fingerlings m</w:t>
            </w:r>
            <w:r w:rsidRPr="00DF613C">
              <w:rPr>
                <w:rFonts w:ascii="Times New Roman" w:eastAsia="Times New Roman" w:hAnsi="Times New Roman"/>
                <w:color w:val="000000"/>
                <w:sz w:val="22"/>
                <w:szCs w:val="22"/>
                <w:vertAlign w:val="superscript"/>
              </w:rPr>
              <w:t>-2</w:t>
            </w:r>
          </w:p>
        </w:tc>
        <w:tc>
          <w:tcPr>
            <w:tcW w:w="1980" w:type="dxa"/>
            <w:tcBorders>
              <w:top w:val="single" w:sz="4" w:space="0" w:color="000000"/>
            </w:tcBorders>
            <w:tcMar>
              <w:top w:w="0" w:type="dxa"/>
              <w:left w:w="108" w:type="dxa"/>
              <w:bottom w:w="0" w:type="dxa"/>
              <w:right w:w="108" w:type="dxa"/>
            </w:tcMar>
            <w:hideMark/>
          </w:tcPr>
          <w:p w14:paraId="45CBCEF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 7 fingerlings m</w:t>
            </w:r>
            <w:r w:rsidRPr="00DF613C">
              <w:rPr>
                <w:rFonts w:ascii="Times New Roman" w:eastAsia="Times New Roman" w:hAnsi="Times New Roman"/>
                <w:color w:val="000000"/>
                <w:sz w:val="22"/>
                <w:szCs w:val="22"/>
                <w:vertAlign w:val="superscript"/>
              </w:rPr>
              <w:t>-2</w:t>
            </w:r>
          </w:p>
        </w:tc>
        <w:tc>
          <w:tcPr>
            <w:tcW w:w="1127" w:type="dxa"/>
            <w:tcBorders>
              <w:top w:val="single" w:sz="4" w:space="0" w:color="000000"/>
            </w:tcBorders>
            <w:tcMar>
              <w:top w:w="0" w:type="dxa"/>
              <w:left w:w="108" w:type="dxa"/>
              <w:bottom w:w="0" w:type="dxa"/>
              <w:right w:w="108" w:type="dxa"/>
            </w:tcMar>
            <w:hideMark/>
          </w:tcPr>
          <w:p w14:paraId="36CEAEE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P-value</w:t>
            </w:r>
          </w:p>
        </w:tc>
      </w:tr>
      <w:tr w:rsidR="001356CF" w:rsidRPr="00DF613C" w14:paraId="0DA9471D" w14:textId="77777777" w:rsidTr="00BC5C5E">
        <w:trPr>
          <w:trHeight w:val="530"/>
        </w:trPr>
        <w:tc>
          <w:tcPr>
            <w:tcW w:w="0" w:type="auto"/>
            <w:tcMar>
              <w:top w:w="0" w:type="dxa"/>
              <w:left w:w="108" w:type="dxa"/>
              <w:bottom w:w="0" w:type="dxa"/>
              <w:right w:w="108" w:type="dxa"/>
            </w:tcMar>
            <w:hideMark/>
          </w:tcPr>
          <w:p w14:paraId="6B804AE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Mean initial length(cm)</w:t>
            </w:r>
          </w:p>
        </w:tc>
        <w:tc>
          <w:tcPr>
            <w:tcW w:w="1920" w:type="dxa"/>
            <w:tcMar>
              <w:top w:w="0" w:type="dxa"/>
              <w:left w:w="108" w:type="dxa"/>
              <w:bottom w:w="0" w:type="dxa"/>
              <w:right w:w="108" w:type="dxa"/>
            </w:tcMar>
            <w:hideMark/>
          </w:tcPr>
          <w:p w14:paraId="33C5DC0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11.42± 0.12</w:t>
            </w:r>
            <w:r w:rsidRPr="00DF613C">
              <w:rPr>
                <w:rFonts w:ascii="Times New Roman" w:eastAsia="Times New Roman" w:hAnsi="Times New Roman"/>
                <w:color w:val="000000"/>
                <w:sz w:val="22"/>
                <w:szCs w:val="22"/>
                <w:vertAlign w:val="superscript"/>
              </w:rPr>
              <w:t>a</w:t>
            </w:r>
          </w:p>
        </w:tc>
        <w:tc>
          <w:tcPr>
            <w:tcW w:w="1829" w:type="dxa"/>
            <w:tcMar>
              <w:top w:w="0" w:type="dxa"/>
              <w:left w:w="108" w:type="dxa"/>
              <w:bottom w:w="0" w:type="dxa"/>
              <w:right w:w="108" w:type="dxa"/>
            </w:tcMar>
            <w:hideMark/>
          </w:tcPr>
          <w:p w14:paraId="4896D23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11.44±0.04</w:t>
            </w:r>
            <w:r w:rsidRPr="00DF613C">
              <w:rPr>
                <w:rFonts w:ascii="Times New Roman" w:eastAsia="Times New Roman" w:hAnsi="Times New Roman"/>
                <w:color w:val="000000"/>
                <w:sz w:val="22"/>
                <w:szCs w:val="22"/>
                <w:vertAlign w:val="superscript"/>
              </w:rPr>
              <w:t xml:space="preserve"> a</w:t>
            </w:r>
          </w:p>
        </w:tc>
        <w:tc>
          <w:tcPr>
            <w:tcW w:w="1980" w:type="dxa"/>
            <w:tcMar>
              <w:top w:w="0" w:type="dxa"/>
              <w:left w:w="108" w:type="dxa"/>
              <w:bottom w:w="0" w:type="dxa"/>
              <w:right w:w="108" w:type="dxa"/>
            </w:tcMar>
            <w:hideMark/>
          </w:tcPr>
          <w:p w14:paraId="5D0C0B8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11.47±0.06</w:t>
            </w:r>
            <w:r w:rsidRPr="00DF613C">
              <w:rPr>
                <w:rFonts w:ascii="Times New Roman" w:eastAsia="Times New Roman" w:hAnsi="Times New Roman"/>
                <w:color w:val="000000"/>
                <w:sz w:val="22"/>
                <w:szCs w:val="22"/>
                <w:vertAlign w:val="superscript"/>
              </w:rPr>
              <w:t xml:space="preserve"> a</w:t>
            </w:r>
          </w:p>
        </w:tc>
        <w:tc>
          <w:tcPr>
            <w:tcW w:w="1127" w:type="dxa"/>
            <w:tcMar>
              <w:top w:w="0" w:type="dxa"/>
              <w:left w:w="108" w:type="dxa"/>
              <w:bottom w:w="0" w:type="dxa"/>
              <w:right w:w="108" w:type="dxa"/>
            </w:tcMar>
            <w:hideMark/>
          </w:tcPr>
          <w:p w14:paraId="3223420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0.97</w:t>
            </w:r>
          </w:p>
        </w:tc>
      </w:tr>
      <w:tr w:rsidR="001356CF" w:rsidRPr="00DF613C" w14:paraId="0AABA595" w14:textId="77777777" w:rsidTr="00BC5C5E">
        <w:trPr>
          <w:trHeight w:val="503"/>
        </w:trPr>
        <w:tc>
          <w:tcPr>
            <w:tcW w:w="0" w:type="auto"/>
            <w:tcMar>
              <w:top w:w="0" w:type="dxa"/>
              <w:left w:w="108" w:type="dxa"/>
              <w:bottom w:w="0" w:type="dxa"/>
              <w:right w:w="108" w:type="dxa"/>
            </w:tcMar>
            <w:hideMark/>
          </w:tcPr>
          <w:p w14:paraId="3219CFF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Mean final length(cm)</w:t>
            </w:r>
          </w:p>
        </w:tc>
        <w:tc>
          <w:tcPr>
            <w:tcW w:w="1920" w:type="dxa"/>
            <w:tcMar>
              <w:top w:w="0" w:type="dxa"/>
              <w:left w:w="108" w:type="dxa"/>
              <w:bottom w:w="0" w:type="dxa"/>
              <w:right w:w="108" w:type="dxa"/>
            </w:tcMar>
            <w:hideMark/>
          </w:tcPr>
          <w:p w14:paraId="234C2BEC"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23.46±0.03</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3C3DB38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21.56±0.21</w:t>
            </w:r>
            <w:r w:rsidRPr="00DF613C">
              <w:rPr>
                <w:rFonts w:ascii="Times New Roman" w:eastAsia="Times New Roman" w:hAnsi="Times New Roman"/>
                <w:color w:val="000000"/>
                <w:sz w:val="22"/>
                <w:szCs w:val="22"/>
                <w:vertAlign w:val="superscript"/>
              </w:rPr>
              <w:t xml:space="preserve"> b</w:t>
            </w:r>
          </w:p>
        </w:tc>
        <w:tc>
          <w:tcPr>
            <w:tcW w:w="1980" w:type="dxa"/>
            <w:tcMar>
              <w:top w:w="0" w:type="dxa"/>
              <w:left w:w="108" w:type="dxa"/>
              <w:bottom w:w="0" w:type="dxa"/>
              <w:right w:w="108" w:type="dxa"/>
            </w:tcMar>
            <w:hideMark/>
          </w:tcPr>
          <w:p w14:paraId="261C539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20.23±0.07</w:t>
            </w:r>
            <w:r w:rsidRPr="00DF613C">
              <w:rPr>
                <w:rFonts w:ascii="Times New Roman" w:eastAsia="Times New Roman" w:hAnsi="Times New Roman"/>
                <w:color w:val="000000"/>
                <w:sz w:val="22"/>
                <w:szCs w:val="22"/>
                <w:vertAlign w:val="superscript"/>
              </w:rPr>
              <w:t xml:space="preserve"> c</w:t>
            </w:r>
          </w:p>
        </w:tc>
        <w:tc>
          <w:tcPr>
            <w:tcW w:w="1127" w:type="dxa"/>
            <w:tcMar>
              <w:top w:w="0" w:type="dxa"/>
              <w:left w:w="108" w:type="dxa"/>
              <w:bottom w:w="0" w:type="dxa"/>
              <w:right w:w="108" w:type="dxa"/>
            </w:tcMar>
            <w:hideMark/>
          </w:tcPr>
          <w:p w14:paraId="27BFF87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r w:rsidR="001356CF" w:rsidRPr="00DF613C" w14:paraId="2376940A" w14:textId="77777777" w:rsidTr="00BC5C5E">
        <w:trPr>
          <w:trHeight w:val="422"/>
        </w:trPr>
        <w:tc>
          <w:tcPr>
            <w:tcW w:w="0" w:type="auto"/>
            <w:tcMar>
              <w:top w:w="0" w:type="dxa"/>
              <w:left w:w="108" w:type="dxa"/>
              <w:bottom w:w="0" w:type="dxa"/>
              <w:right w:w="108" w:type="dxa"/>
            </w:tcMar>
            <w:hideMark/>
          </w:tcPr>
          <w:p w14:paraId="75FBE90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Mean length gain (cm)</w:t>
            </w:r>
          </w:p>
        </w:tc>
        <w:tc>
          <w:tcPr>
            <w:tcW w:w="1920" w:type="dxa"/>
            <w:tcMar>
              <w:top w:w="0" w:type="dxa"/>
              <w:left w:w="108" w:type="dxa"/>
              <w:bottom w:w="0" w:type="dxa"/>
              <w:right w:w="108" w:type="dxa"/>
            </w:tcMar>
            <w:hideMark/>
          </w:tcPr>
          <w:p w14:paraId="5C273EE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12.03±0.1</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68A4245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10.11±0.25</w:t>
            </w:r>
            <w:r w:rsidRPr="00DF613C">
              <w:rPr>
                <w:rFonts w:ascii="Times New Roman" w:eastAsia="Times New Roman" w:hAnsi="Times New Roman"/>
                <w:color w:val="000000"/>
                <w:sz w:val="22"/>
                <w:szCs w:val="22"/>
                <w:vertAlign w:val="superscript"/>
              </w:rPr>
              <w:t xml:space="preserve"> b</w:t>
            </w:r>
          </w:p>
        </w:tc>
        <w:tc>
          <w:tcPr>
            <w:tcW w:w="1980" w:type="dxa"/>
            <w:tcMar>
              <w:top w:w="0" w:type="dxa"/>
              <w:left w:w="108" w:type="dxa"/>
              <w:bottom w:w="0" w:type="dxa"/>
              <w:right w:w="108" w:type="dxa"/>
            </w:tcMar>
            <w:hideMark/>
          </w:tcPr>
          <w:p w14:paraId="7C12047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8.77±0.14</w:t>
            </w:r>
            <w:r w:rsidRPr="00DF613C">
              <w:rPr>
                <w:rFonts w:ascii="Times New Roman" w:eastAsia="Times New Roman" w:hAnsi="Times New Roman"/>
                <w:color w:val="000000"/>
                <w:sz w:val="22"/>
                <w:szCs w:val="22"/>
                <w:vertAlign w:val="superscript"/>
              </w:rPr>
              <w:t xml:space="preserve"> c</w:t>
            </w:r>
          </w:p>
        </w:tc>
        <w:tc>
          <w:tcPr>
            <w:tcW w:w="1127" w:type="dxa"/>
            <w:tcMar>
              <w:top w:w="0" w:type="dxa"/>
              <w:left w:w="108" w:type="dxa"/>
              <w:bottom w:w="0" w:type="dxa"/>
              <w:right w:w="108" w:type="dxa"/>
            </w:tcMar>
            <w:hideMark/>
          </w:tcPr>
          <w:p w14:paraId="5A41A57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0.005</w:t>
            </w:r>
          </w:p>
        </w:tc>
      </w:tr>
      <w:tr w:rsidR="001356CF" w:rsidRPr="00DF613C" w14:paraId="25A440EB" w14:textId="77777777" w:rsidTr="00BC5C5E">
        <w:trPr>
          <w:trHeight w:val="575"/>
        </w:trPr>
        <w:tc>
          <w:tcPr>
            <w:tcW w:w="0" w:type="auto"/>
            <w:tcMar>
              <w:top w:w="0" w:type="dxa"/>
              <w:left w:w="108" w:type="dxa"/>
              <w:bottom w:w="0" w:type="dxa"/>
              <w:right w:w="108" w:type="dxa"/>
            </w:tcMar>
            <w:hideMark/>
          </w:tcPr>
          <w:p w14:paraId="1719FF2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Mean initial weight(g)</w:t>
            </w:r>
          </w:p>
        </w:tc>
        <w:tc>
          <w:tcPr>
            <w:tcW w:w="1920" w:type="dxa"/>
            <w:tcMar>
              <w:top w:w="0" w:type="dxa"/>
              <w:left w:w="108" w:type="dxa"/>
              <w:bottom w:w="0" w:type="dxa"/>
              <w:right w:w="108" w:type="dxa"/>
            </w:tcMar>
            <w:hideMark/>
          </w:tcPr>
          <w:p w14:paraId="5B5D510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26.31±0.06</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25F9802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26.28±0.08</w:t>
            </w:r>
            <w:r w:rsidRPr="00DF613C">
              <w:rPr>
                <w:rFonts w:ascii="Times New Roman" w:eastAsia="Times New Roman" w:hAnsi="Times New Roman"/>
                <w:color w:val="000000"/>
                <w:sz w:val="22"/>
                <w:szCs w:val="22"/>
                <w:vertAlign w:val="superscript"/>
              </w:rPr>
              <w:t xml:space="preserve"> a</w:t>
            </w:r>
          </w:p>
        </w:tc>
        <w:tc>
          <w:tcPr>
            <w:tcW w:w="1980" w:type="dxa"/>
            <w:tcMar>
              <w:top w:w="0" w:type="dxa"/>
              <w:left w:w="108" w:type="dxa"/>
              <w:bottom w:w="0" w:type="dxa"/>
              <w:right w:w="108" w:type="dxa"/>
            </w:tcMar>
            <w:hideMark/>
          </w:tcPr>
          <w:p w14:paraId="6FB674D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26.33±0.1</w:t>
            </w:r>
            <w:r w:rsidRPr="00DF613C">
              <w:rPr>
                <w:rFonts w:ascii="Times New Roman" w:eastAsia="Times New Roman" w:hAnsi="Times New Roman"/>
                <w:color w:val="000000"/>
                <w:sz w:val="22"/>
                <w:szCs w:val="22"/>
                <w:vertAlign w:val="superscript"/>
              </w:rPr>
              <w:t xml:space="preserve"> a</w:t>
            </w:r>
          </w:p>
        </w:tc>
        <w:tc>
          <w:tcPr>
            <w:tcW w:w="1127" w:type="dxa"/>
            <w:tcMar>
              <w:top w:w="0" w:type="dxa"/>
              <w:left w:w="108" w:type="dxa"/>
              <w:bottom w:w="0" w:type="dxa"/>
              <w:right w:w="108" w:type="dxa"/>
            </w:tcMar>
            <w:hideMark/>
          </w:tcPr>
          <w:p w14:paraId="45AD550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0.89</w:t>
            </w:r>
          </w:p>
        </w:tc>
      </w:tr>
      <w:tr w:rsidR="001356CF" w:rsidRPr="00DF613C" w14:paraId="6E349B58" w14:textId="77777777" w:rsidTr="00BC5C5E">
        <w:trPr>
          <w:trHeight w:val="530"/>
        </w:trPr>
        <w:tc>
          <w:tcPr>
            <w:tcW w:w="0" w:type="auto"/>
            <w:tcMar>
              <w:top w:w="0" w:type="dxa"/>
              <w:left w:w="108" w:type="dxa"/>
              <w:bottom w:w="0" w:type="dxa"/>
              <w:right w:w="108" w:type="dxa"/>
            </w:tcMar>
            <w:hideMark/>
          </w:tcPr>
          <w:p w14:paraId="295B3A8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Mean final weight(g)</w:t>
            </w:r>
          </w:p>
        </w:tc>
        <w:tc>
          <w:tcPr>
            <w:tcW w:w="1920" w:type="dxa"/>
            <w:tcMar>
              <w:top w:w="0" w:type="dxa"/>
              <w:left w:w="108" w:type="dxa"/>
              <w:bottom w:w="0" w:type="dxa"/>
              <w:right w:w="108" w:type="dxa"/>
            </w:tcMar>
            <w:hideMark/>
          </w:tcPr>
          <w:p w14:paraId="2BE05D7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182.58±0.39</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596ED96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163.33±0.78</w:t>
            </w:r>
            <w:r w:rsidRPr="00DF613C">
              <w:rPr>
                <w:rFonts w:ascii="Times New Roman" w:eastAsia="Times New Roman" w:hAnsi="Times New Roman"/>
                <w:color w:val="000000"/>
                <w:sz w:val="22"/>
                <w:szCs w:val="22"/>
                <w:vertAlign w:val="superscript"/>
              </w:rPr>
              <w:t xml:space="preserve"> b</w:t>
            </w:r>
          </w:p>
        </w:tc>
        <w:tc>
          <w:tcPr>
            <w:tcW w:w="1980" w:type="dxa"/>
            <w:tcMar>
              <w:top w:w="0" w:type="dxa"/>
              <w:left w:w="108" w:type="dxa"/>
              <w:bottom w:w="0" w:type="dxa"/>
              <w:right w:w="108" w:type="dxa"/>
            </w:tcMar>
            <w:hideMark/>
          </w:tcPr>
          <w:p w14:paraId="0C97143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153.57±0.34</w:t>
            </w:r>
            <w:r w:rsidRPr="00DF613C">
              <w:rPr>
                <w:rFonts w:ascii="Times New Roman" w:eastAsia="Times New Roman" w:hAnsi="Times New Roman"/>
                <w:color w:val="000000"/>
                <w:sz w:val="22"/>
                <w:szCs w:val="22"/>
                <w:vertAlign w:val="superscript"/>
              </w:rPr>
              <w:t xml:space="preserve"> c</w:t>
            </w:r>
          </w:p>
        </w:tc>
        <w:tc>
          <w:tcPr>
            <w:tcW w:w="1127" w:type="dxa"/>
            <w:tcMar>
              <w:top w:w="0" w:type="dxa"/>
              <w:left w:w="108" w:type="dxa"/>
              <w:bottom w:w="0" w:type="dxa"/>
              <w:right w:w="108" w:type="dxa"/>
            </w:tcMar>
            <w:hideMark/>
          </w:tcPr>
          <w:p w14:paraId="1AEF6CF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r w:rsidR="001356CF" w:rsidRPr="00DF613C" w14:paraId="203A833A" w14:textId="77777777" w:rsidTr="00BC5C5E">
        <w:trPr>
          <w:trHeight w:val="530"/>
        </w:trPr>
        <w:tc>
          <w:tcPr>
            <w:tcW w:w="0" w:type="auto"/>
            <w:tcMar>
              <w:top w:w="0" w:type="dxa"/>
              <w:left w:w="108" w:type="dxa"/>
              <w:bottom w:w="0" w:type="dxa"/>
              <w:right w:w="108" w:type="dxa"/>
            </w:tcMar>
            <w:hideMark/>
          </w:tcPr>
          <w:p w14:paraId="733867B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Mean weight gain(g)</w:t>
            </w:r>
          </w:p>
        </w:tc>
        <w:tc>
          <w:tcPr>
            <w:tcW w:w="1920" w:type="dxa"/>
            <w:tcMar>
              <w:top w:w="0" w:type="dxa"/>
              <w:left w:w="108" w:type="dxa"/>
              <w:bottom w:w="0" w:type="dxa"/>
              <w:right w:w="108" w:type="dxa"/>
            </w:tcMar>
            <w:hideMark/>
          </w:tcPr>
          <w:p w14:paraId="55EFD52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156.26±0.41</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6CD06AB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137.05±0.83</w:t>
            </w:r>
            <w:r w:rsidRPr="00DF613C">
              <w:rPr>
                <w:rFonts w:ascii="Times New Roman" w:eastAsia="Times New Roman" w:hAnsi="Times New Roman"/>
                <w:color w:val="000000"/>
                <w:sz w:val="22"/>
                <w:szCs w:val="22"/>
                <w:vertAlign w:val="superscript"/>
              </w:rPr>
              <w:t xml:space="preserve"> b</w:t>
            </w:r>
          </w:p>
        </w:tc>
        <w:tc>
          <w:tcPr>
            <w:tcW w:w="1980" w:type="dxa"/>
            <w:tcMar>
              <w:top w:w="0" w:type="dxa"/>
              <w:left w:w="108" w:type="dxa"/>
              <w:bottom w:w="0" w:type="dxa"/>
              <w:right w:w="108" w:type="dxa"/>
            </w:tcMar>
            <w:hideMark/>
          </w:tcPr>
          <w:p w14:paraId="129AE7D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127.23±0.29</w:t>
            </w:r>
            <w:r w:rsidRPr="00DF613C">
              <w:rPr>
                <w:rFonts w:ascii="Times New Roman" w:eastAsia="Times New Roman" w:hAnsi="Times New Roman"/>
                <w:color w:val="000000"/>
                <w:sz w:val="22"/>
                <w:szCs w:val="22"/>
                <w:vertAlign w:val="superscript"/>
              </w:rPr>
              <w:t xml:space="preserve"> c</w:t>
            </w:r>
          </w:p>
        </w:tc>
        <w:tc>
          <w:tcPr>
            <w:tcW w:w="1127" w:type="dxa"/>
            <w:tcMar>
              <w:top w:w="0" w:type="dxa"/>
              <w:left w:w="108" w:type="dxa"/>
              <w:bottom w:w="0" w:type="dxa"/>
              <w:right w:w="108" w:type="dxa"/>
            </w:tcMar>
            <w:hideMark/>
          </w:tcPr>
          <w:p w14:paraId="5BBDED0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r w:rsidR="001356CF" w:rsidRPr="00DF613C" w14:paraId="5DAFD8E1" w14:textId="77777777" w:rsidTr="00BC5C5E">
        <w:trPr>
          <w:trHeight w:val="378"/>
        </w:trPr>
        <w:tc>
          <w:tcPr>
            <w:tcW w:w="0" w:type="auto"/>
            <w:tcMar>
              <w:top w:w="0" w:type="dxa"/>
              <w:left w:w="108" w:type="dxa"/>
              <w:bottom w:w="0" w:type="dxa"/>
              <w:right w:w="108" w:type="dxa"/>
            </w:tcMar>
            <w:hideMark/>
          </w:tcPr>
          <w:p w14:paraId="7FC91A9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Percentage weight gain (%)</w:t>
            </w:r>
          </w:p>
        </w:tc>
        <w:tc>
          <w:tcPr>
            <w:tcW w:w="1920" w:type="dxa"/>
            <w:tcMar>
              <w:top w:w="0" w:type="dxa"/>
              <w:left w:w="108" w:type="dxa"/>
              <w:bottom w:w="0" w:type="dxa"/>
              <w:right w:w="108" w:type="dxa"/>
            </w:tcMar>
            <w:hideMark/>
          </w:tcPr>
          <w:p w14:paraId="610D05F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593.95±2.3</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4BABA88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521.53±4.4</w:t>
            </w:r>
            <w:r w:rsidRPr="00DF613C">
              <w:rPr>
                <w:rFonts w:ascii="Times New Roman" w:eastAsia="Times New Roman" w:hAnsi="Times New Roman"/>
                <w:color w:val="000000"/>
                <w:sz w:val="22"/>
                <w:szCs w:val="22"/>
                <w:vertAlign w:val="superscript"/>
              </w:rPr>
              <w:t xml:space="preserve"> b</w:t>
            </w:r>
          </w:p>
        </w:tc>
        <w:tc>
          <w:tcPr>
            <w:tcW w:w="1980" w:type="dxa"/>
            <w:tcMar>
              <w:top w:w="0" w:type="dxa"/>
              <w:left w:w="108" w:type="dxa"/>
              <w:bottom w:w="0" w:type="dxa"/>
              <w:right w:w="108" w:type="dxa"/>
            </w:tcMar>
            <w:hideMark/>
          </w:tcPr>
          <w:p w14:paraId="136D394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483.19±1.8</w:t>
            </w:r>
            <w:r w:rsidRPr="00DF613C">
              <w:rPr>
                <w:rFonts w:ascii="Times New Roman" w:eastAsia="Times New Roman" w:hAnsi="Times New Roman"/>
                <w:color w:val="000000"/>
                <w:sz w:val="22"/>
                <w:szCs w:val="22"/>
                <w:vertAlign w:val="superscript"/>
              </w:rPr>
              <w:t xml:space="preserve"> c</w:t>
            </w:r>
          </w:p>
        </w:tc>
        <w:tc>
          <w:tcPr>
            <w:tcW w:w="1127" w:type="dxa"/>
            <w:tcMar>
              <w:top w:w="0" w:type="dxa"/>
              <w:left w:w="108" w:type="dxa"/>
              <w:bottom w:w="0" w:type="dxa"/>
              <w:right w:w="108" w:type="dxa"/>
            </w:tcMar>
            <w:hideMark/>
          </w:tcPr>
          <w:p w14:paraId="603B4AC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&lt;.001</w:t>
            </w:r>
          </w:p>
        </w:tc>
      </w:tr>
      <w:tr w:rsidR="001356CF" w:rsidRPr="00DF613C" w14:paraId="1E693DD4" w14:textId="77777777" w:rsidTr="00BC5C5E">
        <w:trPr>
          <w:trHeight w:val="530"/>
        </w:trPr>
        <w:tc>
          <w:tcPr>
            <w:tcW w:w="0" w:type="auto"/>
            <w:tcMar>
              <w:top w:w="0" w:type="dxa"/>
              <w:left w:w="108" w:type="dxa"/>
              <w:bottom w:w="0" w:type="dxa"/>
              <w:right w:w="108" w:type="dxa"/>
            </w:tcMar>
            <w:hideMark/>
          </w:tcPr>
          <w:p w14:paraId="3E2018D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Daily growth rate(g/day)</w:t>
            </w:r>
          </w:p>
        </w:tc>
        <w:tc>
          <w:tcPr>
            <w:tcW w:w="1920" w:type="dxa"/>
            <w:tcMar>
              <w:top w:w="0" w:type="dxa"/>
              <w:left w:w="108" w:type="dxa"/>
              <w:bottom w:w="0" w:type="dxa"/>
              <w:right w:w="108" w:type="dxa"/>
            </w:tcMar>
            <w:hideMark/>
          </w:tcPr>
          <w:p w14:paraId="7066AA0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0.9±0.01</w:t>
            </w:r>
            <w:r w:rsidRPr="00DF613C">
              <w:rPr>
                <w:rFonts w:ascii="Times New Roman" w:eastAsia="Times New Roman" w:hAnsi="Times New Roman"/>
                <w:color w:val="000000"/>
                <w:sz w:val="22"/>
                <w:szCs w:val="22"/>
                <w:vertAlign w:val="superscript"/>
              </w:rPr>
              <w:t xml:space="preserve"> a</w:t>
            </w:r>
          </w:p>
        </w:tc>
        <w:tc>
          <w:tcPr>
            <w:tcW w:w="1829" w:type="dxa"/>
            <w:tcMar>
              <w:top w:w="0" w:type="dxa"/>
              <w:left w:w="108" w:type="dxa"/>
              <w:bottom w:w="0" w:type="dxa"/>
              <w:right w:w="108" w:type="dxa"/>
            </w:tcMar>
            <w:hideMark/>
          </w:tcPr>
          <w:p w14:paraId="2D96B7C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0.79±0.005</w:t>
            </w:r>
            <w:r w:rsidRPr="00DF613C">
              <w:rPr>
                <w:rFonts w:ascii="Times New Roman" w:eastAsia="Times New Roman" w:hAnsi="Times New Roman"/>
                <w:color w:val="000000"/>
                <w:sz w:val="22"/>
                <w:szCs w:val="22"/>
                <w:vertAlign w:val="superscript"/>
              </w:rPr>
              <w:t xml:space="preserve"> b</w:t>
            </w:r>
          </w:p>
        </w:tc>
        <w:tc>
          <w:tcPr>
            <w:tcW w:w="1980" w:type="dxa"/>
            <w:tcMar>
              <w:top w:w="0" w:type="dxa"/>
              <w:left w:w="108" w:type="dxa"/>
              <w:bottom w:w="0" w:type="dxa"/>
              <w:right w:w="108" w:type="dxa"/>
            </w:tcMar>
            <w:hideMark/>
          </w:tcPr>
          <w:p w14:paraId="0A14F4E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0.73±0.001</w:t>
            </w:r>
            <w:r w:rsidRPr="00DF613C">
              <w:rPr>
                <w:rFonts w:ascii="Times New Roman" w:eastAsia="Times New Roman" w:hAnsi="Times New Roman"/>
                <w:color w:val="000000"/>
                <w:sz w:val="22"/>
                <w:szCs w:val="22"/>
                <w:vertAlign w:val="superscript"/>
              </w:rPr>
              <w:t>c</w:t>
            </w:r>
          </w:p>
        </w:tc>
        <w:tc>
          <w:tcPr>
            <w:tcW w:w="1127" w:type="dxa"/>
            <w:tcMar>
              <w:top w:w="0" w:type="dxa"/>
              <w:left w:w="108" w:type="dxa"/>
              <w:bottom w:w="0" w:type="dxa"/>
              <w:right w:w="108" w:type="dxa"/>
            </w:tcMar>
            <w:hideMark/>
          </w:tcPr>
          <w:p w14:paraId="61052BAC"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r w:rsidR="001356CF" w:rsidRPr="00DF613C" w14:paraId="14108423" w14:textId="77777777" w:rsidTr="00BC5C5E">
        <w:trPr>
          <w:trHeight w:val="530"/>
        </w:trPr>
        <w:tc>
          <w:tcPr>
            <w:tcW w:w="0" w:type="auto"/>
            <w:tcBorders>
              <w:bottom w:val="single" w:sz="4" w:space="0" w:color="000000"/>
            </w:tcBorders>
            <w:tcMar>
              <w:top w:w="0" w:type="dxa"/>
              <w:left w:w="108" w:type="dxa"/>
              <w:bottom w:w="0" w:type="dxa"/>
              <w:right w:w="108" w:type="dxa"/>
            </w:tcMar>
            <w:hideMark/>
          </w:tcPr>
          <w:p w14:paraId="4675A76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Specific growth rate</w:t>
            </w:r>
          </w:p>
        </w:tc>
        <w:tc>
          <w:tcPr>
            <w:tcW w:w="1920" w:type="dxa"/>
            <w:tcBorders>
              <w:bottom w:val="single" w:sz="4" w:space="0" w:color="000000"/>
            </w:tcBorders>
            <w:tcMar>
              <w:top w:w="0" w:type="dxa"/>
              <w:left w:w="108" w:type="dxa"/>
              <w:bottom w:w="0" w:type="dxa"/>
              <w:right w:w="108" w:type="dxa"/>
            </w:tcMar>
            <w:hideMark/>
          </w:tcPr>
          <w:p w14:paraId="2AA4463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1.11±0.002</w:t>
            </w:r>
            <w:r w:rsidRPr="00DF613C">
              <w:rPr>
                <w:rFonts w:ascii="Times New Roman" w:eastAsia="Times New Roman" w:hAnsi="Times New Roman"/>
                <w:color w:val="000000"/>
                <w:sz w:val="22"/>
                <w:szCs w:val="22"/>
                <w:vertAlign w:val="superscript"/>
              </w:rPr>
              <w:t xml:space="preserve"> a</w:t>
            </w:r>
          </w:p>
        </w:tc>
        <w:tc>
          <w:tcPr>
            <w:tcW w:w="1829" w:type="dxa"/>
            <w:tcBorders>
              <w:bottom w:val="single" w:sz="4" w:space="0" w:color="000000"/>
            </w:tcBorders>
            <w:tcMar>
              <w:top w:w="0" w:type="dxa"/>
              <w:left w:w="108" w:type="dxa"/>
              <w:bottom w:w="0" w:type="dxa"/>
              <w:right w:w="108" w:type="dxa"/>
            </w:tcMar>
            <w:hideMark/>
          </w:tcPr>
          <w:p w14:paraId="7B270C2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1.05±0.004</w:t>
            </w:r>
            <w:r w:rsidRPr="00DF613C">
              <w:rPr>
                <w:rFonts w:ascii="Times New Roman" w:eastAsia="Times New Roman" w:hAnsi="Times New Roman"/>
                <w:color w:val="000000"/>
                <w:sz w:val="22"/>
                <w:szCs w:val="22"/>
                <w:vertAlign w:val="superscript"/>
              </w:rPr>
              <w:t xml:space="preserve"> b </w:t>
            </w:r>
          </w:p>
        </w:tc>
        <w:tc>
          <w:tcPr>
            <w:tcW w:w="1980" w:type="dxa"/>
            <w:tcBorders>
              <w:bottom w:val="single" w:sz="4" w:space="0" w:color="000000"/>
            </w:tcBorders>
            <w:tcMar>
              <w:top w:w="0" w:type="dxa"/>
              <w:left w:w="108" w:type="dxa"/>
              <w:bottom w:w="0" w:type="dxa"/>
              <w:right w:w="108" w:type="dxa"/>
            </w:tcMar>
            <w:hideMark/>
          </w:tcPr>
          <w:p w14:paraId="240A931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1.01±0.001</w:t>
            </w:r>
            <w:r w:rsidRPr="00DF613C">
              <w:rPr>
                <w:rFonts w:ascii="Times New Roman" w:eastAsia="Times New Roman" w:hAnsi="Times New Roman"/>
                <w:color w:val="000000"/>
                <w:sz w:val="22"/>
                <w:szCs w:val="22"/>
                <w:vertAlign w:val="superscript"/>
              </w:rPr>
              <w:t xml:space="preserve"> c</w:t>
            </w:r>
            <w:r w:rsidRPr="00DF613C">
              <w:rPr>
                <w:rFonts w:ascii="Times New Roman" w:eastAsia="Times New Roman" w:hAnsi="Times New Roman"/>
                <w:color w:val="000000"/>
                <w:sz w:val="22"/>
                <w:szCs w:val="22"/>
              </w:rPr>
              <w:t> </w:t>
            </w:r>
          </w:p>
        </w:tc>
        <w:tc>
          <w:tcPr>
            <w:tcW w:w="1127" w:type="dxa"/>
            <w:tcBorders>
              <w:bottom w:val="single" w:sz="4" w:space="0" w:color="000000"/>
            </w:tcBorders>
            <w:tcMar>
              <w:top w:w="0" w:type="dxa"/>
              <w:left w:w="108" w:type="dxa"/>
              <w:bottom w:w="0" w:type="dxa"/>
              <w:right w:w="108" w:type="dxa"/>
            </w:tcMar>
            <w:hideMark/>
          </w:tcPr>
          <w:p w14:paraId="44B94EC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&lt;.001</w:t>
            </w:r>
          </w:p>
        </w:tc>
      </w:tr>
    </w:tbl>
    <w:p w14:paraId="58A9E3A4" w14:textId="77777777" w:rsidR="001356CF" w:rsidRPr="00DF613C" w:rsidRDefault="001356CF" w:rsidP="00360444">
      <w:pPr>
        <w:widowControl w:val="0"/>
        <w:autoSpaceDE w:val="0"/>
        <w:autoSpaceDN w:val="0"/>
        <w:jc w:val="both"/>
        <w:rPr>
          <w:rFonts w:ascii="Times New Roman" w:eastAsia="Times New Roman" w:hAnsi="Times New Roman"/>
          <w:i/>
          <w:iCs/>
          <w:sz w:val="22"/>
          <w:szCs w:val="22"/>
        </w:rPr>
      </w:pPr>
      <w:r w:rsidRPr="00DF613C">
        <w:rPr>
          <w:rFonts w:ascii="Times New Roman" w:eastAsia="Times New Roman" w:hAnsi="Times New Roman"/>
          <w:i/>
          <w:iCs/>
          <w:color w:val="000000"/>
          <w:sz w:val="22"/>
          <w:szCs w:val="22"/>
        </w:rPr>
        <w:t>Note: Means within a column followed by a different letter (s) are significantly at p&lt;0.05, LSD test.</w:t>
      </w:r>
    </w:p>
    <w:p w14:paraId="231ADEF1"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p>
    <w:p w14:paraId="2A1A8BAD" w14:textId="77777777" w:rsidR="005A2BE2" w:rsidRPr="00DF613C" w:rsidRDefault="005A2BE2" w:rsidP="00360444">
      <w:pPr>
        <w:widowControl w:val="0"/>
        <w:autoSpaceDE w:val="0"/>
        <w:autoSpaceDN w:val="0"/>
        <w:jc w:val="both"/>
        <w:rPr>
          <w:rFonts w:ascii="Times New Roman" w:eastAsia="Times New Roman" w:hAnsi="Times New Roman"/>
          <w:color w:val="000000"/>
          <w:sz w:val="22"/>
          <w:szCs w:val="22"/>
        </w:rPr>
        <w:sectPr w:rsidR="005A2BE2" w:rsidRPr="00DF613C" w:rsidSect="00360444">
          <w:type w:val="continuous"/>
          <w:pgSz w:w="11907" w:h="16839" w:code="9"/>
          <w:pgMar w:top="1440" w:right="1440" w:bottom="1440" w:left="1440" w:header="720" w:footer="720" w:gutter="0"/>
          <w:cols w:space="720"/>
          <w:docGrid w:linePitch="360"/>
        </w:sectPr>
      </w:pPr>
    </w:p>
    <w:p w14:paraId="088EFBE0" w14:textId="183ACEC3"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The growth performance of individual fishes decreased as the stocking density increased indicating an inverse relationship between stocking density and growth of male </w:t>
      </w:r>
      <w:r w:rsidRPr="00DF613C">
        <w:rPr>
          <w:rFonts w:ascii="Times New Roman" w:eastAsia="Times New Roman" w:hAnsi="Times New Roman"/>
          <w:i/>
          <w:iCs/>
          <w:color w:val="000000"/>
          <w:sz w:val="22"/>
          <w:szCs w:val="22"/>
        </w:rPr>
        <w:t>O.niloticus</w:t>
      </w:r>
      <w:r w:rsidRPr="00DF613C">
        <w:rPr>
          <w:rFonts w:ascii="Times New Roman" w:eastAsia="Times New Roman" w:hAnsi="Times New Roman"/>
          <w:color w:val="000000"/>
          <w:sz w:val="22"/>
          <w:szCs w:val="22"/>
        </w:rPr>
        <w:t xml:space="preserve"> fingerling. Because the growth of tilapia (</w:t>
      </w:r>
      <w:r w:rsidRPr="00DF613C">
        <w:rPr>
          <w:rFonts w:ascii="Times New Roman" w:eastAsia="Times New Roman" w:hAnsi="Times New Roman"/>
          <w:i/>
          <w:iCs/>
          <w:color w:val="000000"/>
          <w:sz w:val="22"/>
          <w:szCs w:val="22"/>
        </w:rPr>
        <w:t>O</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niloticus</w:t>
      </w:r>
      <w:r w:rsidRPr="00DF613C">
        <w:rPr>
          <w:rFonts w:ascii="Times New Roman" w:eastAsia="Times New Roman" w:hAnsi="Times New Roman"/>
          <w:color w:val="000000"/>
          <w:sz w:val="22"/>
          <w:szCs w:val="22"/>
        </w:rPr>
        <w:t>) depends on the stocking density, feed quality, and others (</w:t>
      </w:r>
      <w:r w:rsidRPr="00DF613C">
        <w:rPr>
          <w:rFonts w:ascii="Times New Roman" w:eastAsia="Times New Roman" w:hAnsi="Times New Roman"/>
          <w:color w:val="000000"/>
          <w:sz w:val="22"/>
          <w:szCs w:val="22"/>
          <w:shd w:val="clear" w:color="auto" w:fill="FFFFFF"/>
        </w:rPr>
        <w:t xml:space="preserve">Khattab </w:t>
      </w:r>
      <w:r w:rsidRPr="00DF613C">
        <w:rPr>
          <w:rFonts w:ascii="Times New Roman" w:eastAsia="Times New Roman" w:hAnsi="Times New Roman"/>
          <w:i/>
          <w:iCs/>
          <w:color w:val="000000"/>
          <w:sz w:val="22"/>
          <w:szCs w:val="22"/>
          <w:shd w:val="clear" w:color="auto" w:fill="FFFFFF"/>
        </w:rPr>
        <w:t>et al</w:t>
      </w:r>
      <w:r w:rsidRPr="00DF613C">
        <w:rPr>
          <w:rFonts w:ascii="Times New Roman" w:eastAsia="Times New Roman" w:hAnsi="Times New Roman"/>
          <w:color w:val="000000"/>
          <w:sz w:val="22"/>
          <w:szCs w:val="22"/>
          <w:shd w:val="clear" w:color="auto" w:fill="FFFFFF"/>
        </w:rPr>
        <w:t>., 2001</w:t>
      </w:r>
      <w:r w:rsidRPr="00DF613C">
        <w:rPr>
          <w:rFonts w:ascii="Times New Roman" w:eastAsia="Times New Roman" w:hAnsi="Times New Roman"/>
          <w:color w:val="000000"/>
          <w:sz w:val="22"/>
          <w:szCs w:val="22"/>
        </w:rPr>
        <w:t xml:space="preserve">). The lower growth performance of tilapia exhibited at higher stocking density could have been caused by energy expenditure because of competition for feed and living </w:t>
      </w:r>
      <w:r w:rsidRPr="00DF613C">
        <w:rPr>
          <w:rFonts w:ascii="Times New Roman" w:eastAsia="Times New Roman" w:hAnsi="Times New Roman"/>
          <w:color w:val="000000"/>
          <w:sz w:val="22"/>
          <w:szCs w:val="22"/>
        </w:rPr>
        <w:t xml:space="preserve">space and increased stress. It has been reported that the high stocking density of </w:t>
      </w:r>
      <w:r w:rsidRPr="00DF613C">
        <w:rPr>
          <w:rFonts w:ascii="Times New Roman" w:eastAsia="Times New Roman" w:hAnsi="Times New Roman"/>
          <w:i/>
          <w:iCs/>
          <w:color w:val="000000"/>
          <w:sz w:val="22"/>
          <w:szCs w:val="22"/>
        </w:rPr>
        <w:t>O.niloticus</w:t>
      </w:r>
      <w:r w:rsidRPr="00DF613C">
        <w:rPr>
          <w:rFonts w:ascii="Times New Roman" w:eastAsia="Times New Roman" w:hAnsi="Times New Roman"/>
          <w:color w:val="000000"/>
          <w:sz w:val="22"/>
          <w:szCs w:val="22"/>
        </w:rPr>
        <w:t xml:space="preserve"> fingerlings might lead to ‘social stress’ which eventually leads to impaired fish growth (El-Sayed, 2002). In line with the present study, different scholars, Herrera (2015) studied the effects of stocking density on growth performance and production of male tilapia in the three different densities (3, 3.2, and 3.5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Diana and Lin (2004) stocked male tilapia at 3, 6, and 9fish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and Sophia </w:t>
      </w:r>
      <w:r w:rsidRPr="00DF613C">
        <w:rPr>
          <w:rFonts w:ascii="Times New Roman" w:eastAsia="Times New Roman" w:hAnsi="Times New Roman"/>
          <w:i/>
          <w:iCs/>
          <w:color w:val="000000"/>
          <w:sz w:val="22"/>
          <w:szCs w:val="22"/>
        </w:rPr>
        <w:lastRenderedPageBreak/>
        <w:t>et al</w:t>
      </w:r>
      <w:r w:rsidRPr="00DF613C">
        <w:rPr>
          <w:rFonts w:ascii="Times New Roman" w:eastAsia="Times New Roman" w:hAnsi="Times New Roman"/>
          <w:color w:val="000000"/>
          <w:sz w:val="22"/>
          <w:szCs w:val="22"/>
        </w:rPr>
        <w:t>. (2010) all those scholars abstracted that the highest weight of fish</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was attained at a density of 3fish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than the other density of 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w:t>
      </w:r>
      <w:r w:rsidRPr="00DF613C">
        <w:rPr>
          <w:rFonts w:ascii="Times New Roman" w:eastAsia="Times New Roman" w:hAnsi="Times New Roman"/>
          <w:sz w:val="22"/>
          <w:szCs w:val="22"/>
        </w:rPr>
        <w:t xml:space="preserve"> </w:t>
      </w:r>
      <w:r w:rsidRPr="00DF613C">
        <w:rPr>
          <w:rFonts w:ascii="Times New Roman" w:eastAsia="Times New Roman" w:hAnsi="Times New Roman"/>
          <w:color w:val="000000"/>
          <w:sz w:val="22"/>
          <w:szCs w:val="22"/>
        </w:rPr>
        <w:t>Fish</w:t>
      </w:r>
      <w:r w:rsidRPr="00DF613C">
        <w:rPr>
          <w:rFonts w:ascii="Times New Roman" w:eastAsia="Times New Roman" w:hAnsi="Times New Roman"/>
          <w:color w:val="000000"/>
          <w:sz w:val="22"/>
          <w:szCs w:val="22"/>
          <w:vertAlign w:val="superscript"/>
        </w:rPr>
        <w:t xml:space="preserve"> </w:t>
      </w:r>
      <w:r w:rsidRPr="00DF613C">
        <w:rPr>
          <w:rFonts w:ascii="Times New Roman" w:eastAsia="Times New Roman" w:hAnsi="Times New Roman"/>
          <w:color w:val="000000"/>
          <w:sz w:val="22"/>
          <w:szCs w:val="22"/>
        </w:rPr>
        <w:t xml:space="preserve">stocked at the </w:t>
      </w:r>
      <w:r w:rsidRPr="00DF613C">
        <w:rPr>
          <w:rFonts w:ascii="Times New Roman" w:eastAsia="Times New Roman" w:hAnsi="Times New Roman"/>
          <w:color w:val="1C1D1E"/>
          <w:sz w:val="22"/>
          <w:szCs w:val="22"/>
          <w:shd w:val="clear" w:color="auto" w:fill="FFFFFF"/>
        </w:rPr>
        <w:t>lower density (</w:t>
      </w:r>
      <w:r w:rsidRPr="00DF613C">
        <w:rPr>
          <w:rFonts w:ascii="Times New Roman" w:eastAsia="Times New Roman" w:hAnsi="Times New Roman"/>
          <w:color w:val="000000"/>
          <w:sz w:val="22"/>
          <w:szCs w:val="22"/>
        </w:rPr>
        <w:t>3fish</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1C1D1E"/>
          <w:sz w:val="22"/>
          <w:szCs w:val="22"/>
          <w:shd w:val="clear" w:color="auto" w:fill="FFFFFF"/>
        </w:rPr>
        <w:t xml:space="preserve">) had significantly higher </w:t>
      </w:r>
      <w:r w:rsidRPr="00DF613C">
        <w:rPr>
          <w:rFonts w:ascii="Times New Roman" w:eastAsia="Times New Roman" w:hAnsi="Times New Roman"/>
          <w:color w:val="000000"/>
          <w:sz w:val="22"/>
          <w:szCs w:val="22"/>
        </w:rPr>
        <w:t xml:space="preserve">(156.27±0.38 g) </w:t>
      </w:r>
      <w:r w:rsidRPr="00DF613C">
        <w:rPr>
          <w:rFonts w:ascii="Times New Roman" w:eastAsia="Times New Roman" w:hAnsi="Times New Roman"/>
          <w:color w:val="1C1D1E"/>
          <w:sz w:val="22"/>
          <w:szCs w:val="22"/>
          <w:shd w:val="clear" w:color="auto" w:fill="FFFFFF"/>
        </w:rPr>
        <w:t>mean weight gain than</w:t>
      </w:r>
      <w:r w:rsidRPr="00DF613C">
        <w:rPr>
          <w:rFonts w:ascii="Times New Roman" w:eastAsia="Times New Roman" w:hAnsi="Times New Roman"/>
          <w:color w:val="000000"/>
          <w:sz w:val="22"/>
          <w:szCs w:val="22"/>
        </w:rPr>
        <w:t xml:space="preserve"> higher stocking density. These results were similar to the finding of Hasan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(2010) the mean weight gain of 155.0 g in the stocking density of 3.7 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w:t>
      </w:r>
    </w:p>
    <w:p w14:paraId="70616610" w14:textId="77777777" w:rsidR="001356CF" w:rsidRPr="00DF613C" w:rsidRDefault="001356CF" w:rsidP="00360444">
      <w:pPr>
        <w:widowControl w:val="0"/>
        <w:autoSpaceDE w:val="0"/>
        <w:autoSpaceDN w:val="0"/>
        <w:spacing w:before="240" w:after="16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Daily growth rates and Specific growth rates observed in this study increase in stocking density decrease and the growth rates were affected by the density of fish in the pond. Because, increased stocking density results in competition for space, food, and increase activity levels, and fish use more energy deriving in high metabolic rates and then a growth decrease (Ellis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2002). This is in agreement with Gillian-Klanian and Arámburu-Adame's (2013) daily growth rate of lower density (0.96 g day-</w:t>
      </w:r>
      <w:r w:rsidRPr="00DF613C">
        <w:rPr>
          <w:rFonts w:ascii="Times New Roman" w:eastAsia="Times New Roman" w:hAnsi="Times New Roman"/>
          <w:color w:val="000000"/>
          <w:sz w:val="22"/>
          <w:szCs w:val="22"/>
          <w:vertAlign w:val="superscript"/>
        </w:rPr>
        <w:t>1</w:t>
      </w:r>
      <w:r w:rsidRPr="00DF613C">
        <w:rPr>
          <w:rFonts w:ascii="Times New Roman" w:eastAsia="Times New Roman" w:hAnsi="Times New Roman"/>
          <w:color w:val="000000"/>
          <w:sz w:val="22"/>
          <w:szCs w:val="22"/>
        </w:rPr>
        <w:t>) higher than higher density (0.73 g day-</w:t>
      </w:r>
      <w:r w:rsidRPr="00DF613C">
        <w:rPr>
          <w:rFonts w:ascii="Times New Roman" w:eastAsia="Times New Roman" w:hAnsi="Times New Roman"/>
          <w:color w:val="000000"/>
          <w:sz w:val="22"/>
          <w:szCs w:val="22"/>
          <w:vertAlign w:val="superscript"/>
        </w:rPr>
        <w:t>1</w:t>
      </w:r>
      <w:r w:rsidRPr="00DF613C">
        <w:rPr>
          <w:rFonts w:ascii="Times New Roman" w:eastAsia="Times New Roman" w:hAnsi="Times New Roman"/>
          <w:color w:val="000000"/>
          <w:sz w:val="22"/>
          <w:szCs w:val="22"/>
        </w:rPr>
        <w:t xml:space="preserve">). Islam and </w:t>
      </w:r>
      <w:r w:rsidRPr="00DF613C">
        <w:rPr>
          <w:rFonts w:ascii="Times New Roman" w:eastAsia="Times New Roman" w:hAnsi="Times New Roman"/>
          <w:color w:val="000000"/>
          <w:sz w:val="22"/>
          <w:szCs w:val="22"/>
        </w:rPr>
        <w:t xml:space="preserve">Begum (2019) also reported that the lowest stocking density had a significantly higher mean weight, daily growth rate, and specific growth rate than did the higher density treatment, and the growth of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fish was found to be density-dependent. Similar growth scenarios were also obtained with many other culturing systems with similar species (Ashagrie Gibtan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2008; Abou-Zied and Ali, 2012; Yakubu</w:t>
      </w:r>
      <w:r w:rsidRPr="00DF613C">
        <w:rPr>
          <w:rFonts w:ascii="Times New Roman" w:eastAsia="Times New Roman" w:hAnsi="Times New Roman"/>
          <w:color w:val="222222"/>
          <w:sz w:val="22"/>
          <w:szCs w:val="22"/>
          <w:shd w:val="clear" w:color="auto" w:fill="FFFFFF"/>
        </w:rPr>
        <w:t xml:space="preserve">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2013; Daudpota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2014). </w:t>
      </w:r>
    </w:p>
    <w:p w14:paraId="63955BA9" w14:textId="3F72CA33" w:rsidR="001356CF" w:rsidRPr="00DF613C" w:rsidRDefault="000118BA"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 xml:space="preserve"> </w:t>
      </w:r>
      <w:r w:rsidR="001356CF" w:rsidRPr="00DF613C">
        <w:rPr>
          <w:rFonts w:ascii="Times New Roman" w:eastAsia="Times New Roman" w:hAnsi="Times New Roman"/>
          <w:b/>
          <w:bCs/>
          <w:color w:val="000000"/>
          <w:sz w:val="22"/>
          <w:szCs w:val="22"/>
        </w:rPr>
        <w:t>The Total Fish Production Harvested at the end of the Experimental Period </w:t>
      </w:r>
    </w:p>
    <w:p w14:paraId="43D765FB" w14:textId="77777777" w:rsidR="00A17371" w:rsidRPr="00DF613C" w:rsidRDefault="001356CF" w:rsidP="00360444">
      <w:pPr>
        <w:widowControl w:val="0"/>
        <w:autoSpaceDE w:val="0"/>
        <w:autoSpaceDN w:val="0"/>
        <w:jc w:val="both"/>
        <w:rPr>
          <w:rFonts w:ascii="Times New Roman" w:eastAsia="Times New Roman" w:hAnsi="Times New Roman"/>
          <w:color w:val="000000"/>
          <w:sz w:val="22"/>
          <w:szCs w:val="22"/>
        </w:rPr>
        <w:sectPr w:rsidR="00A17371" w:rsidRPr="00DF613C" w:rsidSect="00360444">
          <w:type w:val="continuous"/>
          <w:pgSz w:w="11907" w:h="16839" w:code="9"/>
          <w:pgMar w:top="1440" w:right="1440" w:bottom="1440" w:left="1440" w:header="720" w:footer="720" w:gutter="0"/>
          <w:cols w:num="2" w:space="720"/>
          <w:docGrid w:linePitch="360"/>
        </w:sectPr>
      </w:pPr>
      <w:r w:rsidRPr="00DF613C">
        <w:rPr>
          <w:rFonts w:ascii="Times New Roman" w:eastAsia="Times New Roman" w:hAnsi="Times New Roman"/>
          <w:color w:val="000000"/>
          <w:sz w:val="22"/>
          <w:szCs w:val="22"/>
        </w:rPr>
        <w:t>The total biomass (kg) harvested from the treatment ranged from (4.9 kg) up to (10.2 kg). The mean total fish harvested in 3 fingerlings</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was 5.11±0.11</w:t>
      </w:r>
      <w:r w:rsidRPr="00DF613C">
        <w:rPr>
          <w:rFonts w:ascii="Times New Roman" w:eastAsia="Times New Roman" w:hAnsi="Times New Roman"/>
          <w:color w:val="000000"/>
          <w:sz w:val="22"/>
          <w:szCs w:val="22"/>
          <w:vertAlign w:val="superscript"/>
        </w:rPr>
        <w:t xml:space="preserve"> </w:t>
      </w:r>
      <w:r w:rsidRPr="00DF613C">
        <w:rPr>
          <w:rFonts w:ascii="Times New Roman" w:eastAsia="Times New Roman" w:hAnsi="Times New Roman"/>
          <w:color w:val="000000"/>
          <w:sz w:val="22"/>
          <w:szCs w:val="22"/>
        </w:rPr>
        <w:t>kg and 7.57±0.22</w:t>
      </w:r>
      <w:r w:rsidRPr="00DF613C">
        <w:rPr>
          <w:rFonts w:ascii="Times New Roman" w:eastAsia="Times New Roman" w:hAnsi="Times New Roman"/>
          <w:color w:val="000000"/>
          <w:sz w:val="22"/>
          <w:szCs w:val="22"/>
          <w:vertAlign w:val="superscript"/>
        </w:rPr>
        <w:t xml:space="preserve"> </w:t>
      </w:r>
      <w:r w:rsidRPr="00DF613C">
        <w:rPr>
          <w:rFonts w:ascii="Times New Roman" w:eastAsia="Times New Roman" w:hAnsi="Times New Roman"/>
          <w:color w:val="000000"/>
          <w:sz w:val="22"/>
          <w:szCs w:val="22"/>
        </w:rPr>
        <w:t>kg and 9.78±0.14</w:t>
      </w:r>
      <w:r w:rsidRPr="00DF613C">
        <w:rPr>
          <w:rFonts w:ascii="Times New Roman" w:eastAsia="Times New Roman" w:hAnsi="Times New Roman"/>
          <w:color w:val="000000"/>
          <w:sz w:val="22"/>
          <w:szCs w:val="22"/>
          <w:vertAlign w:val="superscript"/>
        </w:rPr>
        <w:t xml:space="preserve"> </w:t>
      </w:r>
      <w:r w:rsidRPr="00DF613C">
        <w:rPr>
          <w:rFonts w:ascii="Times New Roman" w:eastAsia="Times New Roman" w:hAnsi="Times New Roman"/>
          <w:color w:val="000000"/>
          <w:sz w:val="22"/>
          <w:szCs w:val="22"/>
        </w:rPr>
        <w:t>kg for the stocking density of 3, 5, and 7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respectively. There existed a significant difference (p &lt; 0.05) among treatment groups in the total fish harvest (Table 2). </w:t>
      </w:r>
    </w:p>
    <w:p w14:paraId="73EA5927" w14:textId="67C3210A" w:rsidR="001356CF" w:rsidRPr="00DF613C" w:rsidRDefault="001356CF" w:rsidP="00360444">
      <w:pPr>
        <w:widowControl w:val="0"/>
        <w:autoSpaceDE w:val="0"/>
        <w:autoSpaceDN w:val="0"/>
        <w:jc w:val="both"/>
        <w:rPr>
          <w:rFonts w:ascii="Times New Roman" w:eastAsia="Times New Roman" w:hAnsi="Times New Roman"/>
          <w:sz w:val="22"/>
          <w:szCs w:val="22"/>
        </w:rPr>
      </w:pPr>
    </w:p>
    <w:p w14:paraId="2F2E3BA1" w14:textId="77777777" w:rsidR="00A17371" w:rsidRPr="00DF613C" w:rsidRDefault="00A17371" w:rsidP="00360444">
      <w:pPr>
        <w:widowControl w:val="0"/>
        <w:autoSpaceDE w:val="0"/>
        <w:autoSpaceDN w:val="0"/>
        <w:jc w:val="both"/>
        <w:rPr>
          <w:rFonts w:ascii="Times New Roman" w:eastAsia="Times New Roman" w:hAnsi="Times New Roman"/>
          <w:sz w:val="22"/>
          <w:szCs w:val="22"/>
        </w:rPr>
      </w:pPr>
    </w:p>
    <w:p w14:paraId="20F5663F" w14:textId="77777777" w:rsidR="00A17371" w:rsidRPr="00DF613C" w:rsidRDefault="001356CF" w:rsidP="00360444">
      <w:pPr>
        <w:widowControl w:val="0"/>
        <w:autoSpaceDE w:val="0"/>
        <w:autoSpaceDN w:val="0"/>
        <w:spacing w:before="240"/>
        <w:jc w:val="both"/>
        <w:rPr>
          <w:rFonts w:ascii="Times New Roman" w:eastAsia="Times New Roman" w:hAnsi="Times New Roman"/>
          <w:b/>
          <w:bCs/>
          <w:i/>
          <w:iCs/>
          <w:color w:val="000000"/>
          <w:sz w:val="22"/>
          <w:szCs w:val="22"/>
        </w:rPr>
        <w:sectPr w:rsidR="00A17371" w:rsidRPr="00DF613C" w:rsidSect="00360444">
          <w:type w:val="continuous"/>
          <w:pgSz w:w="11907" w:h="16839" w:code="9"/>
          <w:pgMar w:top="1440" w:right="1440" w:bottom="1440" w:left="1440" w:header="720" w:footer="720" w:gutter="0"/>
          <w:cols w:space="720"/>
          <w:docGrid w:linePitch="360"/>
        </w:sectPr>
      </w:pP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61312" behindDoc="0" locked="0" layoutInCell="1" allowOverlap="1" wp14:anchorId="50A18716" wp14:editId="5FC82C2F">
                <wp:simplePos x="0" y="0"/>
                <wp:positionH relativeFrom="column">
                  <wp:posOffset>3642399</wp:posOffset>
                </wp:positionH>
                <wp:positionV relativeFrom="paragraph">
                  <wp:posOffset>194623</wp:posOffset>
                </wp:positionV>
                <wp:extent cx="1783715" cy="429981"/>
                <wp:effectExtent l="76200" t="171450" r="64135" b="217805"/>
                <wp:wrapNone/>
                <wp:docPr id="10"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1783715" cy="429981"/>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8C419F7" w14:textId="77777777" w:rsidR="001356CF" w:rsidRDefault="001356CF" w:rsidP="00A17371">
                            <w:pPr>
                              <w:pStyle w:val="NormalWeb"/>
                            </w:pPr>
                            <w:r>
                              <w:rPr>
                                <w:b/>
                                <w:bCs/>
                                <w:color w:val="00B050"/>
                                <w:kern w:val="24"/>
                              </w:rPr>
                              <w:t>T-1    5fish/m</w:t>
                            </w:r>
                            <w:r>
                              <w:rPr>
                                <w:b/>
                                <w:bCs/>
                                <w:color w:val="00B050"/>
                                <w:kern w:val="24"/>
                                <w:position w:val="19"/>
                                <w:vertAlign w:val="superscript"/>
                              </w:rPr>
                              <w:t>2</w:t>
                            </w:r>
                            <w:r>
                              <w:rPr>
                                <w:b/>
                                <w:bCs/>
                                <w:color w:val="FFFF00"/>
                                <w:kern w:val="24"/>
                              </w:rPr>
                              <w:t xml:space="preserve"> </w:t>
                            </w:r>
                            <w:r w:rsidRPr="00237138">
                              <w:rPr>
                                <w:b/>
                                <w:bCs/>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0A18716" id="_x0000_s1031" style="position:absolute;left:0;text-align:left;margin-left:286.8pt;margin-top:15.3pt;width:140.45pt;height:33.85pt;rotation:-65249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" fillcolor="#f2dcdb">
                <v:shadow on="t" color="black" opacity="24903f" origin=",.5" offset="0,.55556mm"/>
                <v:path arrowok="t"/>
                <v:textbox>
                  <w:txbxContent>
                    <w:p w14:paraId="68C419F7" w14:textId="77777777" w:rsidR="001356CF" w:rsidRDefault="001356CF" w:rsidP="00A17371">
                      <w:pPr>
                        <w:pStyle w:val="NormalWeb"/>
                      </w:pPr>
                      <w:r>
                        <w:rPr>
                          <w:b/>
                          <w:bCs/>
                          <w:color w:val="00B050"/>
                          <w:kern w:val="24"/>
                        </w:rPr>
                        <w:t>T-1    5fish/m</w:t>
                      </w:r>
                      <w:r>
                        <w:rPr>
                          <w:b/>
                          <w:bCs/>
                          <w:color w:val="00B050"/>
                          <w:kern w:val="24"/>
                          <w:position w:val="19"/>
                          <w:vertAlign w:val="superscript"/>
                        </w:rPr>
                        <w:t>2</w:t>
                      </w:r>
                      <w:r>
                        <w:rPr>
                          <w:b/>
                          <w:bCs/>
                          <w:color w:val="FFFF00"/>
                          <w:kern w:val="24"/>
                        </w:rPr>
                        <w:t xml:space="preserve"> </w:t>
                      </w:r>
                      <w:r w:rsidRPr="00237138">
                        <w:rPr>
                          <w:b/>
                          <w:bCs/>
                          <w:color w:val="000000"/>
                          <w:kern w:val="24"/>
                        </w:rPr>
                        <w:t xml:space="preserve"> </w:t>
                      </w:r>
                    </w:p>
                  </w:txbxContent>
                </v:textbox>
              </v:roundrect>
            </w:pict>
          </mc:Fallback>
        </mc:AlternateContent>
      </w: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59264" behindDoc="0" locked="0" layoutInCell="1" allowOverlap="1" wp14:anchorId="1D53F512" wp14:editId="38ED7FE4">
                <wp:simplePos x="0" y="0"/>
                <wp:positionH relativeFrom="column">
                  <wp:posOffset>315361</wp:posOffset>
                </wp:positionH>
                <wp:positionV relativeFrom="paragraph">
                  <wp:posOffset>147900</wp:posOffset>
                </wp:positionV>
                <wp:extent cx="1300480" cy="414349"/>
                <wp:effectExtent l="76200" t="133350" r="71120" b="176530"/>
                <wp:wrapNone/>
                <wp:docPr id="17"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1300480" cy="414349"/>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5F2D4C1" w14:textId="77777777" w:rsidR="001356CF" w:rsidRDefault="001356CF" w:rsidP="001356CF">
                            <w:pPr>
                              <w:pStyle w:val="NormalWeb"/>
                              <w:spacing w:after="0"/>
                            </w:pPr>
                            <w:r>
                              <w:rPr>
                                <w:b/>
                                <w:bCs/>
                                <w:color w:val="00B050"/>
                                <w:kern w:val="24"/>
                              </w:rPr>
                              <w:t>T-1    3fish/m</w:t>
                            </w:r>
                            <w:r>
                              <w:rPr>
                                <w:b/>
                                <w:bCs/>
                                <w:color w:val="00B050"/>
                                <w:kern w:val="24"/>
                                <w:position w:val="19"/>
                                <w:vertAlign w:val="superscript"/>
                              </w:rPr>
                              <w:t>2</w:t>
                            </w:r>
                            <w:r>
                              <w:rPr>
                                <w:b/>
                                <w:bCs/>
                                <w:color w:val="FFFF00"/>
                                <w:kern w:val="24"/>
                              </w:rPr>
                              <w:t xml:space="preserve"> </w:t>
                            </w:r>
                            <w:r w:rsidRPr="00237138">
                              <w:rPr>
                                <w:b/>
                                <w:bCs/>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D53F512" id="_x0000_s1032" style="position:absolute;left:0;text-align:left;margin-left:24.85pt;margin-top:11.65pt;width:102.4pt;height:32.65pt;rotation:-65249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" fillcolor="#f2dcdb">
                <v:shadow on="t" color="black" opacity="24903f" origin=",.5" offset="0,.55556mm"/>
                <v:path arrowok="t"/>
                <v:textbox>
                  <w:txbxContent>
                    <w:p w14:paraId="15F2D4C1" w14:textId="77777777" w:rsidR="001356CF" w:rsidRDefault="001356CF" w:rsidP="001356CF">
                      <w:pPr>
                        <w:pStyle w:val="NormalWeb"/>
                        <w:spacing w:after="0"/>
                      </w:pPr>
                      <w:r>
                        <w:rPr>
                          <w:b/>
                          <w:bCs/>
                          <w:color w:val="00B050"/>
                          <w:kern w:val="24"/>
                        </w:rPr>
                        <w:t>T-1    3fish/m</w:t>
                      </w:r>
                      <w:r>
                        <w:rPr>
                          <w:b/>
                          <w:bCs/>
                          <w:color w:val="00B050"/>
                          <w:kern w:val="24"/>
                          <w:position w:val="19"/>
                          <w:vertAlign w:val="superscript"/>
                        </w:rPr>
                        <w:t>2</w:t>
                      </w:r>
                      <w:r>
                        <w:rPr>
                          <w:b/>
                          <w:bCs/>
                          <w:color w:val="FFFF00"/>
                          <w:kern w:val="24"/>
                        </w:rPr>
                        <w:t xml:space="preserve"> </w:t>
                      </w:r>
                      <w:r w:rsidRPr="00237138">
                        <w:rPr>
                          <w:b/>
                          <w:bCs/>
                          <w:color w:val="000000"/>
                          <w:kern w:val="24"/>
                        </w:rPr>
                        <w:t xml:space="preserve"> </w:t>
                      </w:r>
                    </w:p>
                  </w:txbxContent>
                </v:textbox>
              </v:roundrect>
            </w:pict>
          </mc:Fallback>
        </mc:AlternateContent>
      </w:r>
      <w:r w:rsidRPr="00DF613C">
        <w:rPr>
          <w:rFonts w:ascii="Times New Roman" w:eastAsia="Times New Roman" w:hAnsi="Times New Roman"/>
          <w:noProof/>
          <w:sz w:val="22"/>
          <w:szCs w:val="22"/>
          <w:lang w:val="en-US" w:eastAsia="en-US"/>
        </w:rPr>
        <mc:AlternateContent>
          <mc:Choice Requires="wps">
            <w:drawing>
              <wp:anchor distT="0" distB="0" distL="114300" distR="114300" simplePos="0" relativeHeight="251660288" behindDoc="0" locked="0" layoutInCell="1" allowOverlap="1" wp14:anchorId="0A502B31" wp14:editId="4095B6B7">
                <wp:simplePos x="0" y="0"/>
                <wp:positionH relativeFrom="column">
                  <wp:posOffset>1874811</wp:posOffset>
                </wp:positionH>
                <wp:positionV relativeFrom="paragraph">
                  <wp:posOffset>175089</wp:posOffset>
                </wp:positionV>
                <wp:extent cx="1420495" cy="435167"/>
                <wp:effectExtent l="76200" t="152400" r="65405" b="193675"/>
                <wp:wrapNone/>
                <wp:docPr id="15"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2621">
                          <a:off x="0" y="0"/>
                          <a:ext cx="1420495" cy="435167"/>
                        </a:xfrm>
                        <a:prstGeom prst="roundRect">
                          <a:avLst/>
                        </a:prstGeom>
                        <a:solidFill>
                          <a:srgbClr val="C0504D">
                            <a:lumMod val="20000"/>
                            <a:lumOff val="8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3DAD71B" w14:textId="77777777" w:rsidR="001356CF" w:rsidRDefault="001356CF" w:rsidP="001356CF">
                            <w:pPr>
                              <w:pStyle w:val="NormalWeb"/>
                              <w:spacing w:after="0"/>
                            </w:pPr>
                            <w:r>
                              <w:rPr>
                                <w:b/>
                                <w:bCs/>
                                <w:color w:val="00B050"/>
                                <w:kern w:val="24"/>
                              </w:rPr>
                              <w:t>T-1    5fish/m</w:t>
                            </w:r>
                            <w:r>
                              <w:rPr>
                                <w:b/>
                                <w:bCs/>
                                <w:color w:val="00B050"/>
                                <w:kern w:val="24"/>
                                <w:position w:val="19"/>
                                <w:vertAlign w:val="superscript"/>
                              </w:rPr>
                              <w:t>2</w:t>
                            </w:r>
                            <w:r>
                              <w:rPr>
                                <w:b/>
                                <w:bCs/>
                                <w:color w:val="FFFF00"/>
                                <w:kern w:val="24"/>
                              </w:rPr>
                              <w:t xml:space="preserve"> </w:t>
                            </w:r>
                            <w:r w:rsidRPr="00237138">
                              <w:rPr>
                                <w:b/>
                                <w:bCs/>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502B31" id="_x0000_s1033" style="position:absolute;left:0;text-align:left;margin-left:147.6pt;margin-top:13.8pt;width:111.85pt;height:34.25pt;rotation:-65249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" fillcolor="#f2dcdb">
                <v:shadow on="t" color="black" opacity="24903f" origin=",.5" offset="0,.55556mm"/>
                <v:path arrowok="t"/>
                <v:textbox>
                  <w:txbxContent>
                    <w:p w14:paraId="53DAD71B" w14:textId="77777777" w:rsidR="001356CF" w:rsidRDefault="001356CF" w:rsidP="001356CF">
                      <w:pPr>
                        <w:pStyle w:val="NormalWeb"/>
                        <w:spacing w:after="0"/>
                      </w:pPr>
                      <w:r>
                        <w:rPr>
                          <w:b/>
                          <w:bCs/>
                          <w:color w:val="00B050"/>
                          <w:kern w:val="24"/>
                        </w:rPr>
                        <w:t>T-1    5fish/m</w:t>
                      </w:r>
                      <w:r>
                        <w:rPr>
                          <w:b/>
                          <w:bCs/>
                          <w:color w:val="00B050"/>
                          <w:kern w:val="24"/>
                          <w:position w:val="19"/>
                          <w:vertAlign w:val="superscript"/>
                        </w:rPr>
                        <w:t>2</w:t>
                      </w:r>
                      <w:r>
                        <w:rPr>
                          <w:b/>
                          <w:bCs/>
                          <w:color w:val="FFFF00"/>
                          <w:kern w:val="24"/>
                        </w:rPr>
                        <w:t xml:space="preserve"> </w:t>
                      </w:r>
                      <w:r w:rsidRPr="00237138">
                        <w:rPr>
                          <w:b/>
                          <w:bCs/>
                          <w:color w:val="000000"/>
                          <w:kern w:val="24"/>
                        </w:rPr>
                        <w:t xml:space="preserve"> </w:t>
                      </w:r>
                    </w:p>
                  </w:txbxContent>
                </v:textbox>
              </v:roundrect>
            </w:pict>
          </mc:Fallback>
        </mc:AlternateContent>
      </w:r>
      <w:r w:rsidRPr="00DF613C">
        <w:rPr>
          <w:rFonts w:ascii="Times New Roman" w:eastAsia="Times New Roman" w:hAnsi="Times New Roman"/>
          <w:b/>
          <w:bCs/>
          <w:i/>
          <w:iCs/>
          <w:noProof/>
          <w:color w:val="000000"/>
          <w:sz w:val="22"/>
          <w:szCs w:val="22"/>
          <w:bdr w:val="none" w:sz="0" w:space="0" w:color="auto" w:frame="1"/>
          <w:lang w:val="en-US" w:eastAsia="en-US"/>
        </w:rPr>
        <w:drawing>
          <wp:inline distT="0" distB="0" distL="0" distR="0" wp14:anchorId="4A8F61FF" wp14:editId="79AF5378">
            <wp:extent cx="1685925" cy="1809750"/>
            <wp:effectExtent l="0" t="0" r="9525" b="0"/>
            <wp:docPr id="36" name="Picture 36" descr="https://lh5.googleusercontent.com/xJ9Bx24XLDu9D5li_lHHQP4yTrXVTOL6duowZn5JrYhF83uZ1Dhr_0alMhqHg9DvMSlXSHBglzbFZPoR0CuE-6JF5PRarS-45KGBx6Te2DC9cXAo4aG9WsyZyloSB3t3C7J8Ot_MpnYz2VtbX7XsVJ3sDlQGsrXwnLKXzltIaAel_4cALZx4a1E3Jb0DtKuOL7KBOBJ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J9Bx24XLDu9D5li_lHHQP4yTrXVTOL6duowZn5JrYhF83uZ1Dhr_0alMhqHg9DvMSlXSHBglzbFZPoR0CuE-6JF5PRarS-45KGBx6Te2DC9cXAo4aG9WsyZyloSB3t3C7J8Ot_MpnYz2VtbX7XsVJ3sDlQGsrXwnLKXzltIaAel_4cALZx4a1E3Jb0DtKuOL7KBOBJYu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809750"/>
                    </a:xfrm>
                    <a:prstGeom prst="rect">
                      <a:avLst/>
                    </a:prstGeom>
                    <a:noFill/>
                    <a:ln>
                      <a:noFill/>
                    </a:ln>
                  </pic:spPr>
                </pic:pic>
              </a:graphicData>
            </a:graphic>
          </wp:inline>
        </w:drawing>
      </w:r>
      <w:r w:rsidRPr="00DF613C">
        <w:rPr>
          <w:rFonts w:ascii="Times New Roman" w:eastAsia="Times New Roman" w:hAnsi="Times New Roman"/>
          <w:b/>
          <w:bCs/>
          <w:i/>
          <w:iCs/>
          <w:color w:val="000000"/>
          <w:sz w:val="22"/>
          <w:szCs w:val="22"/>
        </w:rPr>
        <w:t xml:space="preserve"> </w:t>
      </w:r>
    </w:p>
    <w:p w14:paraId="006B298E" w14:textId="397036DC"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b/>
          <w:bCs/>
          <w:i/>
          <w:iCs/>
          <w:noProof/>
          <w:color w:val="000000"/>
          <w:sz w:val="22"/>
          <w:szCs w:val="22"/>
          <w:bdr w:val="none" w:sz="0" w:space="0" w:color="auto" w:frame="1"/>
          <w:lang w:val="en-US" w:eastAsia="en-US"/>
        </w:rPr>
        <w:drawing>
          <wp:inline distT="0" distB="0" distL="0" distR="0" wp14:anchorId="562208A5" wp14:editId="72B28AEA">
            <wp:extent cx="1695450" cy="1800225"/>
            <wp:effectExtent l="0" t="0" r="0" b="9525"/>
            <wp:docPr id="37" name="Picture 37" descr="https://lh5.googleusercontent.com/a-mLgMrTMKVhas3QJgzY3Xha6A1NyWGL1uvPV0Hsv1cL1pBqHxGMg92toeiO36Jy2E1J8dXiluLIjgcDC-auy8UO0jp3odO7xUFWKbOb3DN9wHqxFalEtl0kuwPCeJpN5oh4nF6kMjaY3X0YBTqPf1JQ9pga_j8oVBd6ymCmNbZdi5PWbOjZAhJ7w1v4-rfdU2sIt9F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a-mLgMrTMKVhas3QJgzY3Xha6A1NyWGL1uvPV0Hsv1cL1pBqHxGMg92toeiO36Jy2E1J8dXiluLIjgcDC-auy8UO0jp3odO7xUFWKbOb3DN9wHqxFalEtl0kuwPCeJpN5oh4nF6kMjaY3X0YBTqPf1JQ9pga_j8oVBd6ymCmNbZdi5PWbOjZAhJ7w1v4-rfdU2sIt9FJy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800225"/>
                    </a:xfrm>
                    <a:prstGeom prst="rect">
                      <a:avLst/>
                    </a:prstGeom>
                    <a:noFill/>
                    <a:ln>
                      <a:noFill/>
                    </a:ln>
                  </pic:spPr>
                </pic:pic>
              </a:graphicData>
            </a:graphic>
          </wp:inline>
        </w:drawing>
      </w:r>
      <w:r w:rsidRPr="00DF613C">
        <w:rPr>
          <w:rFonts w:ascii="Times New Roman" w:eastAsia="Times New Roman" w:hAnsi="Times New Roman"/>
          <w:b/>
          <w:bCs/>
          <w:i/>
          <w:iCs/>
          <w:color w:val="000000"/>
          <w:sz w:val="22"/>
          <w:szCs w:val="22"/>
        </w:rPr>
        <w:t xml:space="preserve"> </w:t>
      </w:r>
      <w:r w:rsidRPr="00DF613C">
        <w:rPr>
          <w:rFonts w:ascii="Times New Roman" w:eastAsia="Times New Roman" w:hAnsi="Times New Roman"/>
          <w:b/>
          <w:bCs/>
          <w:i/>
          <w:iCs/>
          <w:noProof/>
          <w:color w:val="000000"/>
          <w:sz w:val="22"/>
          <w:szCs w:val="22"/>
          <w:bdr w:val="none" w:sz="0" w:space="0" w:color="auto" w:frame="1"/>
          <w:lang w:val="en-US" w:eastAsia="en-US"/>
        </w:rPr>
        <w:drawing>
          <wp:inline distT="0" distB="0" distL="0" distR="0" wp14:anchorId="46881F34" wp14:editId="6F21F2D1">
            <wp:extent cx="2143125" cy="1809750"/>
            <wp:effectExtent l="0" t="0" r="9525" b="0"/>
            <wp:docPr id="39" name="Picture 39" descr="https://lh4.googleusercontent.com/7G4X6KRm4detfWZBbNLbWMQtSwgARtJUFrLyIOsdXY7SRgrluBSpPr7Kwle1hWAVotJp5i5q5Uan_h9F2X7_0LuY_nkRvKd5WIVGw8TuYRtTnEOl2T88Njjr1iK_QK55XuaIRDmbcY4LGvr0An43lQ3eVe4OEkO1Hfgro1U-vP0IIYW6B3HkAe1HLJeWL1b54hLKMSB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7G4X6KRm4detfWZBbNLbWMQtSwgARtJUFrLyIOsdXY7SRgrluBSpPr7Kwle1hWAVotJp5i5q5Uan_h9F2X7_0LuY_nkRvKd5WIVGw8TuYRtTnEOl2T88Njjr1iK_QK55XuaIRDmbcY4LGvr0An43lQ3eVe4OEkO1Hfgro1U-vP0IIYW6B3HkAe1HLJeWL1b54hLKMSBlK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809750"/>
                    </a:xfrm>
                    <a:prstGeom prst="rect">
                      <a:avLst/>
                    </a:prstGeom>
                    <a:noFill/>
                    <a:ln>
                      <a:noFill/>
                    </a:ln>
                  </pic:spPr>
                </pic:pic>
              </a:graphicData>
            </a:graphic>
          </wp:inline>
        </w:drawing>
      </w:r>
    </w:p>
    <w:p w14:paraId="669ABBDD" w14:textId="77777777" w:rsidR="00A17371" w:rsidRPr="00DF613C" w:rsidRDefault="00A17371" w:rsidP="00360444">
      <w:pPr>
        <w:widowControl w:val="0"/>
        <w:autoSpaceDE w:val="0"/>
        <w:autoSpaceDN w:val="0"/>
        <w:jc w:val="both"/>
        <w:rPr>
          <w:rFonts w:ascii="Times New Roman" w:eastAsia="Times New Roman" w:hAnsi="Times New Roman"/>
          <w:color w:val="000000"/>
          <w:sz w:val="22"/>
          <w:szCs w:val="22"/>
        </w:rPr>
        <w:sectPr w:rsidR="00A17371" w:rsidRPr="00DF613C" w:rsidSect="00360444">
          <w:type w:val="continuous"/>
          <w:pgSz w:w="11907" w:h="16839" w:code="9"/>
          <w:pgMar w:top="1440" w:right="1440" w:bottom="1440" w:left="1440" w:header="720" w:footer="720" w:gutter="0"/>
          <w:cols w:num="2" w:space="720"/>
          <w:docGrid w:linePitch="360"/>
        </w:sectPr>
      </w:pPr>
    </w:p>
    <w:p w14:paraId="2A25CDC8" w14:textId="01604DF1"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Figure 5: Fish production at a different stocking density</w:t>
      </w:r>
    </w:p>
    <w:p w14:paraId="0754370B" w14:textId="77777777" w:rsidR="001356CF" w:rsidRPr="00DF613C" w:rsidRDefault="001356CF" w:rsidP="00360444">
      <w:pPr>
        <w:widowControl w:val="0"/>
        <w:autoSpaceDE w:val="0"/>
        <w:autoSpaceDN w:val="0"/>
        <w:spacing w:before="24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The mean fish yield was varied between treatment groups 0.51 ± 0.01 kg</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0.75 ± 0.02 kgm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and 0.98 ±0.01 kg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for 3, 5 and 7fingerlings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respectively (Table 2).</w:t>
      </w:r>
    </w:p>
    <w:p w14:paraId="20C13580" w14:textId="77777777" w:rsidR="00A17371" w:rsidRPr="00DF613C" w:rsidRDefault="00A17371" w:rsidP="00360444">
      <w:pPr>
        <w:widowControl w:val="0"/>
        <w:autoSpaceDE w:val="0"/>
        <w:autoSpaceDN w:val="0"/>
        <w:spacing w:before="240"/>
        <w:jc w:val="both"/>
        <w:rPr>
          <w:rFonts w:ascii="Times New Roman" w:eastAsia="Times New Roman" w:hAnsi="Times New Roman"/>
          <w:sz w:val="22"/>
          <w:szCs w:val="22"/>
        </w:rPr>
        <w:sectPr w:rsidR="00A17371" w:rsidRPr="00DF613C" w:rsidSect="00360444">
          <w:type w:val="continuous"/>
          <w:pgSz w:w="11907" w:h="16839" w:code="9"/>
          <w:pgMar w:top="1440" w:right="1440" w:bottom="1440" w:left="1440" w:header="720" w:footer="720" w:gutter="0"/>
          <w:cols w:space="720"/>
          <w:docGrid w:linePitch="360"/>
        </w:sectPr>
      </w:pPr>
    </w:p>
    <w:p w14:paraId="44D0679E" w14:textId="5925F8A8"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p>
    <w:p w14:paraId="6D01B99E" w14:textId="77777777" w:rsidR="00A17371" w:rsidRPr="00DF613C" w:rsidRDefault="00A17371" w:rsidP="00360444">
      <w:pPr>
        <w:widowControl w:val="0"/>
        <w:autoSpaceDE w:val="0"/>
        <w:autoSpaceDN w:val="0"/>
        <w:jc w:val="both"/>
        <w:rPr>
          <w:rFonts w:ascii="Times New Roman" w:eastAsia="Times New Roman" w:hAnsi="Times New Roman"/>
          <w:b/>
          <w:bCs/>
          <w:color w:val="000000"/>
          <w:sz w:val="22"/>
          <w:szCs w:val="22"/>
        </w:rPr>
        <w:sectPr w:rsidR="00A17371" w:rsidRPr="00DF613C" w:rsidSect="00360444">
          <w:type w:val="continuous"/>
          <w:pgSz w:w="11907" w:h="16839" w:code="9"/>
          <w:pgMar w:top="1440" w:right="1440" w:bottom="1440" w:left="1440" w:header="720" w:footer="720" w:gutter="0"/>
          <w:cols w:num="2" w:space="720"/>
          <w:docGrid w:linePitch="360"/>
        </w:sectPr>
      </w:pPr>
    </w:p>
    <w:p w14:paraId="0A23E697" w14:textId="7613B488"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Table 2:</w:t>
      </w:r>
      <w:r w:rsidRPr="00DF613C">
        <w:rPr>
          <w:rFonts w:ascii="Times New Roman" w:eastAsia="Times New Roman" w:hAnsi="Times New Roman"/>
          <w:color w:val="000000"/>
          <w:sz w:val="22"/>
          <w:szCs w:val="22"/>
        </w:rPr>
        <w:t xml:space="preserve"> Production of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between treatments </w:t>
      </w:r>
    </w:p>
    <w:tbl>
      <w:tblPr>
        <w:tblW w:w="0" w:type="auto"/>
        <w:tblCellMar>
          <w:top w:w="15" w:type="dxa"/>
          <w:left w:w="15" w:type="dxa"/>
          <w:bottom w:w="15" w:type="dxa"/>
          <w:right w:w="15" w:type="dxa"/>
        </w:tblCellMar>
        <w:tblLook w:val="04A0" w:firstRow="1" w:lastRow="0" w:firstColumn="1" w:lastColumn="0" w:noHBand="0" w:noVBand="1"/>
      </w:tblPr>
      <w:tblGrid>
        <w:gridCol w:w="2947"/>
        <w:gridCol w:w="1622"/>
        <w:gridCol w:w="1677"/>
        <w:gridCol w:w="1622"/>
        <w:gridCol w:w="889"/>
      </w:tblGrid>
      <w:tr w:rsidR="001356CF" w:rsidRPr="00DF613C" w14:paraId="3736F3B9" w14:textId="77777777" w:rsidTr="00BC5C5E">
        <w:trPr>
          <w:trHeight w:val="539"/>
        </w:trPr>
        <w:tc>
          <w:tcPr>
            <w:tcW w:w="0" w:type="auto"/>
            <w:vMerge w:val="restart"/>
            <w:tcBorders>
              <w:top w:val="single" w:sz="4" w:space="0" w:color="000000"/>
              <w:bottom w:val="single" w:sz="4" w:space="0" w:color="000000"/>
            </w:tcBorders>
            <w:tcMar>
              <w:top w:w="0" w:type="dxa"/>
              <w:left w:w="108" w:type="dxa"/>
              <w:bottom w:w="0" w:type="dxa"/>
              <w:right w:w="108" w:type="dxa"/>
            </w:tcMar>
            <w:hideMark/>
          </w:tcPr>
          <w:p w14:paraId="1E51E3F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Total fish harvested</w:t>
            </w:r>
          </w:p>
        </w:tc>
        <w:tc>
          <w:tcPr>
            <w:tcW w:w="0" w:type="auto"/>
            <w:gridSpan w:val="3"/>
            <w:tcBorders>
              <w:top w:val="single" w:sz="4" w:space="0" w:color="000000"/>
              <w:bottom w:val="single" w:sz="4" w:space="0" w:color="000000"/>
            </w:tcBorders>
            <w:tcMar>
              <w:top w:w="0" w:type="dxa"/>
              <w:left w:w="108" w:type="dxa"/>
              <w:bottom w:w="0" w:type="dxa"/>
              <w:right w:w="108" w:type="dxa"/>
            </w:tcMar>
            <w:hideMark/>
          </w:tcPr>
          <w:p w14:paraId="46A3E5B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Experimental group/ stocking densities</w:t>
            </w:r>
          </w:p>
        </w:tc>
        <w:tc>
          <w:tcPr>
            <w:tcW w:w="0" w:type="auto"/>
            <w:tcBorders>
              <w:top w:val="single" w:sz="4" w:space="0" w:color="000000"/>
              <w:bottom w:val="single" w:sz="4" w:space="0" w:color="000000"/>
            </w:tcBorders>
            <w:tcMar>
              <w:top w:w="0" w:type="dxa"/>
              <w:left w:w="108" w:type="dxa"/>
              <w:bottom w:w="0" w:type="dxa"/>
              <w:right w:w="108" w:type="dxa"/>
            </w:tcMar>
            <w:hideMark/>
          </w:tcPr>
          <w:p w14:paraId="18B01C3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r>
      <w:tr w:rsidR="001356CF" w:rsidRPr="00DF613C" w14:paraId="15C6E2A4" w14:textId="77777777" w:rsidTr="00BC5C5E">
        <w:trPr>
          <w:trHeight w:val="539"/>
        </w:trPr>
        <w:tc>
          <w:tcPr>
            <w:tcW w:w="0" w:type="auto"/>
            <w:vMerge/>
            <w:tcBorders>
              <w:top w:val="single" w:sz="4" w:space="0" w:color="000000"/>
              <w:bottom w:val="single" w:sz="4" w:space="0" w:color="000000"/>
            </w:tcBorders>
            <w:vAlign w:val="center"/>
            <w:hideMark/>
          </w:tcPr>
          <w:p w14:paraId="5230CB3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34F0A9A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3fingerlings m</w:t>
            </w:r>
            <w:r w:rsidRPr="00DF613C">
              <w:rPr>
                <w:rFonts w:ascii="Times New Roman" w:eastAsia="Times New Roman" w:hAnsi="Times New Roman"/>
                <w:color w:val="000000"/>
                <w:sz w:val="22"/>
                <w:szCs w:val="22"/>
                <w:vertAlign w:val="superscript"/>
              </w:rPr>
              <w:t>-2</w:t>
            </w:r>
          </w:p>
        </w:tc>
        <w:tc>
          <w:tcPr>
            <w:tcW w:w="0" w:type="auto"/>
            <w:tcBorders>
              <w:top w:val="single" w:sz="4" w:space="0" w:color="000000"/>
              <w:bottom w:val="single" w:sz="4" w:space="0" w:color="000000"/>
            </w:tcBorders>
            <w:tcMar>
              <w:top w:w="0" w:type="dxa"/>
              <w:left w:w="108" w:type="dxa"/>
              <w:bottom w:w="0" w:type="dxa"/>
              <w:right w:w="108" w:type="dxa"/>
            </w:tcMar>
            <w:hideMark/>
          </w:tcPr>
          <w:p w14:paraId="0FA8B5F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 5fingerlings m</w:t>
            </w:r>
            <w:r w:rsidRPr="00DF613C">
              <w:rPr>
                <w:rFonts w:ascii="Times New Roman" w:eastAsia="Times New Roman" w:hAnsi="Times New Roman"/>
                <w:color w:val="000000"/>
                <w:sz w:val="22"/>
                <w:szCs w:val="22"/>
                <w:vertAlign w:val="superscript"/>
              </w:rPr>
              <w:t>-2</w:t>
            </w:r>
          </w:p>
        </w:tc>
        <w:tc>
          <w:tcPr>
            <w:tcW w:w="0" w:type="auto"/>
            <w:tcBorders>
              <w:top w:val="single" w:sz="4" w:space="0" w:color="000000"/>
              <w:bottom w:val="single" w:sz="4" w:space="0" w:color="000000"/>
            </w:tcBorders>
            <w:tcMar>
              <w:top w:w="0" w:type="dxa"/>
              <w:left w:w="108" w:type="dxa"/>
              <w:bottom w:w="0" w:type="dxa"/>
              <w:right w:w="108" w:type="dxa"/>
            </w:tcMar>
            <w:hideMark/>
          </w:tcPr>
          <w:p w14:paraId="5658D5B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7fingerlings m</w:t>
            </w:r>
            <w:r w:rsidRPr="00DF613C">
              <w:rPr>
                <w:rFonts w:ascii="Times New Roman" w:eastAsia="Times New Roman" w:hAnsi="Times New Roman"/>
                <w:color w:val="000000"/>
                <w:sz w:val="22"/>
                <w:szCs w:val="22"/>
                <w:vertAlign w:val="superscript"/>
              </w:rPr>
              <w:t>-2</w:t>
            </w:r>
          </w:p>
        </w:tc>
        <w:tc>
          <w:tcPr>
            <w:tcW w:w="0" w:type="auto"/>
            <w:tcBorders>
              <w:top w:val="single" w:sz="4" w:space="0" w:color="000000"/>
              <w:bottom w:val="single" w:sz="4" w:space="0" w:color="000000"/>
            </w:tcBorders>
            <w:tcMar>
              <w:top w:w="0" w:type="dxa"/>
              <w:left w:w="108" w:type="dxa"/>
              <w:bottom w:w="0" w:type="dxa"/>
              <w:right w:w="108" w:type="dxa"/>
            </w:tcMar>
            <w:hideMark/>
          </w:tcPr>
          <w:p w14:paraId="290A936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P-value</w:t>
            </w:r>
          </w:p>
        </w:tc>
      </w:tr>
      <w:tr w:rsidR="001356CF" w:rsidRPr="00DF613C" w14:paraId="44ED0B64" w14:textId="77777777" w:rsidTr="00BC5C5E">
        <w:trPr>
          <w:trHeight w:val="539"/>
        </w:trPr>
        <w:tc>
          <w:tcPr>
            <w:tcW w:w="0" w:type="auto"/>
            <w:tcBorders>
              <w:top w:val="single" w:sz="4" w:space="0" w:color="000000"/>
            </w:tcBorders>
            <w:tcMar>
              <w:top w:w="0" w:type="dxa"/>
              <w:left w:w="108" w:type="dxa"/>
              <w:bottom w:w="0" w:type="dxa"/>
              <w:right w:w="108" w:type="dxa"/>
            </w:tcMar>
            <w:hideMark/>
          </w:tcPr>
          <w:p w14:paraId="09F174D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The total biomass kg/treatment</w:t>
            </w:r>
          </w:p>
          <w:p w14:paraId="0F1C059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0" w:type="auto"/>
            <w:tcBorders>
              <w:top w:val="single" w:sz="4" w:space="0" w:color="000000"/>
            </w:tcBorders>
            <w:tcMar>
              <w:top w:w="0" w:type="dxa"/>
              <w:left w:w="108" w:type="dxa"/>
              <w:bottom w:w="0" w:type="dxa"/>
              <w:right w:w="108" w:type="dxa"/>
            </w:tcMar>
            <w:hideMark/>
          </w:tcPr>
          <w:p w14:paraId="41104A0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5.11±0.11</w:t>
            </w:r>
            <w:r w:rsidRPr="00DF613C">
              <w:rPr>
                <w:rFonts w:ascii="Times New Roman" w:eastAsia="Times New Roman" w:hAnsi="Times New Roman"/>
                <w:color w:val="000000"/>
                <w:sz w:val="22"/>
                <w:szCs w:val="22"/>
                <w:vertAlign w:val="superscript"/>
              </w:rPr>
              <w:t xml:space="preserve"> c</w:t>
            </w:r>
          </w:p>
        </w:tc>
        <w:tc>
          <w:tcPr>
            <w:tcW w:w="0" w:type="auto"/>
            <w:tcBorders>
              <w:top w:val="single" w:sz="4" w:space="0" w:color="000000"/>
            </w:tcBorders>
            <w:tcMar>
              <w:top w:w="0" w:type="dxa"/>
              <w:left w:w="108" w:type="dxa"/>
              <w:bottom w:w="0" w:type="dxa"/>
              <w:right w:w="108" w:type="dxa"/>
            </w:tcMar>
            <w:hideMark/>
          </w:tcPr>
          <w:p w14:paraId="28F3C66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7.57±0.22</w:t>
            </w:r>
            <w:r w:rsidRPr="00DF613C">
              <w:rPr>
                <w:rFonts w:ascii="Times New Roman" w:eastAsia="Times New Roman" w:hAnsi="Times New Roman"/>
                <w:color w:val="000000"/>
                <w:sz w:val="22"/>
                <w:szCs w:val="22"/>
                <w:vertAlign w:val="superscript"/>
              </w:rPr>
              <w:t xml:space="preserve"> b</w:t>
            </w:r>
          </w:p>
        </w:tc>
        <w:tc>
          <w:tcPr>
            <w:tcW w:w="0" w:type="auto"/>
            <w:tcBorders>
              <w:top w:val="single" w:sz="4" w:space="0" w:color="000000"/>
            </w:tcBorders>
            <w:tcMar>
              <w:top w:w="0" w:type="dxa"/>
              <w:left w:w="108" w:type="dxa"/>
              <w:bottom w:w="0" w:type="dxa"/>
              <w:right w:w="108" w:type="dxa"/>
            </w:tcMar>
            <w:hideMark/>
          </w:tcPr>
          <w:p w14:paraId="2B0F468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9.78±0.14</w:t>
            </w:r>
            <w:r w:rsidRPr="00DF613C">
              <w:rPr>
                <w:rFonts w:ascii="Times New Roman" w:eastAsia="Times New Roman" w:hAnsi="Times New Roman"/>
                <w:color w:val="000000"/>
                <w:sz w:val="22"/>
                <w:szCs w:val="22"/>
                <w:vertAlign w:val="superscript"/>
              </w:rPr>
              <w:t xml:space="preserve"> a</w:t>
            </w:r>
          </w:p>
        </w:tc>
        <w:tc>
          <w:tcPr>
            <w:tcW w:w="0" w:type="auto"/>
            <w:tcBorders>
              <w:top w:val="single" w:sz="4" w:space="0" w:color="000000"/>
            </w:tcBorders>
            <w:tcMar>
              <w:top w:w="0" w:type="dxa"/>
              <w:left w:w="108" w:type="dxa"/>
              <w:bottom w:w="0" w:type="dxa"/>
              <w:right w:w="108" w:type="dxa"/>
            </w:tcMar>
            <w:hideMark/>
          </w:tcPr>
          <w:p w14:paraId="0412164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r w:rsidR="001356CF" w:rsidRPr="00DF613C" w14:paraId="773553B0" w14:textId="77777777" w:rsidTr="00BC5C5E">
        <w:trPr>
          <w:trHeight w:val="539"/>
        </w:trPr>
        <w:tc>
          <w:tcPr>
            <w:tcW w:w="0" w:type="auto"/>
            <w:tcBorders>
              <w:bottom w:val="single" w:sz="4" w:space="0" w:color="000000"/>
            </w:tcBorders>
            <w:tcMar>
              <w:top w:w="0" w:type="dxa"/>
              <w:left w:w="108" w:type="dxa"/>
              <w:bottom w:w="0" w:type="dxa"/>
              <w:right w:w="108" w:type="dxa"/>
            </w:tcMar>
            <w:hideMark/>
          </w:tcPr>
          <w:p w14:paraId="54DAC94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Yield kg m</w:t>
            </w:r>
            <w:r w:rsidRPr="00DF613C">
              <w:rPr>
                <w:rFonts w:ascii="Times New Roman" w:eastAsia="Times New Roman" w:hAnsi="Times New Roman"/>
                <w:color w:val="000000"/>
                <w:sz w:val="22"/>
                <w:szCs w:val="22"/>
                <w:vertAlign w:val="superscript"/>
              </w:rPr>
              <w:t xml:space="preserve">-2 / </w:t>
            </w:r>
            <w:r w:rsidRPr="00DF613C">
              <w:rPr>
                <w:rFonts w:ascii="Times New Roman" w:eastAsia="Times New Roman" w:hAnsi="Times New Roman"/>
                <w:color w:val="000000"/>
                <w:sz w:val="22"/>
                <w:szCs w:val="22"/>
              </w:rPr>
              <w:t>6 month</w:t>
            </w:r>
          </w:p>
        </w:tc>
        <w:tc>
          <w:tcPr>
            <w:tcW w:w="0" w:type="auto"/>
            <w:tcBorders>
              <w:bottom w:val="single" w:sz="4" w:space="0" w:color="000000"/>
            </w:tcBorders>
            <w:tcMar>
              <w:top w:w="0" w:type="dxa"/>
              <w:left w:w="108" w:type="dxa"/>
              <w:bottom w:w="0" w:type="dxa"/>
              <w:right w:w="108" w:type="dxa"/>
            </w:tcMar>
            <w:hideMark/>
          </w:tcPr>
          <w:p w14:paraId="686798D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0.51±0.11</w:t>
            </w:r>
            <w:r w:rsidRPr="00DF613C">
              <w:rPr>
                <w:rFonts w:ascii="Times New Roman" w:eastAsia="Times New Roman" w:hAnsi="Times New Roman"/>
                <w:color w:val="000000"/>
                <w:sz w:val="22"/>
                <w:szCs w:val="22"/>
                <w:vertAlign w:val="superscript"/>
              </w:rPr>
              <w:t xml:space="preserve"> c</w:t>
            </w:r>
          </w:p>
        </w:tc>
        <w:tc>
          <w:tcPr>
            <w:tcW w:w="0" w:type="auto"/>
            <w:tcBorders>
              <w:bottom w:val="single" w:sz="4" w:space="0" w:color="000000"/>
            </w:tcBorders>
            <w:tcMar>
              <w:top w:w="0" w:type="dxa"/>
              <w:left w:w="108" w:type="dxa"/>
              <w:bottom w:w="0" w:type="dxa"/>
              <w:right w:w="108" w:type="dxa"/>
            </w:tcMar>
            <w:hideMark/>
          </w:tcPr>
          <w:p w14:paraId="695FE60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0.76±0.02</w:t>
            </w:r>
            <w:r w:rsidRPr="00DF613C">
              <w:rPr>
                <w:rFonts w:ascii="Times New Roman" w:eastAsia="Times New Roman" w:hAnsi="Times New Roman"/>
                <w:color w:val="000000"/>
                <w:sz w:val="22"/>
                <w:szCs w:val="22"/>
                <w:vertAlign w:val="superscript"/>
              </w:rPr>
              <w:t xml:space="preserve"> b</w:t>
            </w:r>
          </w:p>
        </w:tc>
        <w:tc>
          <w:tcPr>
            <w:tcW w:w="0" w:type="auto"/>
            <w:tcBorders>
              <w:bottom w:val="single" w:sz="4" w:space="0" w:color="000000"/>
            </w:tcBorders>
            <w:tcMar>
              <w:top w:w="0" w:type="dxa"/>
              <w:left w:w="108" w:type="dxa"/>
              <w:bottom w:w="0" w:type="dxa"/>
              <w:right w:w="108" w:type="dxa"/>
            </w:tcMar>
            <w:hideMark/>
          </w:tcPr>
          <w:p w14:paraId="1F082D3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0.98±0.01</w:t>
            </w:r>
            <w:r w:rsidRPr="00DF613C">
              <w:rPr>
                <w:rFonts w:ascii="Times New Roman" w:eastAsia="Times New Roman" w:hAnsi="Times New Roman"/>
                <w:color w:val="000000"/>
                <w:sz w:val="22"/>
                <w:szCs w:val="22"/>
                <w:vertAlign w:val="superscript"/>
              </w:rPr>
              <w:t xml:space="preserve"> a</w:t>
            </w:r>
          </w:p>
        </w:tc>
        <w:tc>
          <w:tcPr>
            <w:tcW w:w="0" w:type="auto"/>
            <w:tcBorders>
              <w:bottom w:val="single" w:sz="4" w:space="0" w:color="000000"/>
            </w:tcBorders>
            <w:tcMar>
              <w:top w:w="0" w:type="dxa"/>
              <w:left w:w="108" w:type="dxa"/>
              <w:bottom w:w="0" w:type="dxa"/>
              <w:right w:w="108" w:type="dxa"/>
            </w:tcMar>
            <w:hideMark/>
          </w:tcPr>
          <w:p w14:paraId="17BAE02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bl>
    <w:p w14:paraId="4A8191CC" w14:textId="77777777" w:rsidR="00A17371" w:rsidRPr="00DF613C" w:rsidRDefault="00A17371" w:rsidP="00360444">
      <w:pPr>
        <w:widowControl w:val="0"/>
        <w:autoSpaceDE w:val="0"/>
        <w:autoSpaceDN w:val="0"/>
        <w:spacing w:before="240"/>
        <w:jc w:val="both"/>
        <w:rPr>
          <w:rFonts w:ascii="Times New Roman" w:eastAsia="Times New Roman" w:hAnsi="Times New Roman"/>
          <w:color w:val="000000"/>
          <w:sz w:val="22"/>
          <w:szCs w:val="22"/>
        </w:rPr>
        <w:sectPr w:rsidR="00A17371" w:rsidRPr="00DF613C" w:rsidSect="00360444">
          <w:type w:val="continuous"/>
          <w:pgSz w:w="11907" w:h="16839" w:code="9"/>
          <w:pgMar w:top="1440" w:right="1440" w:bottom="1440" w:left="1440" w:header="720" w:footer="720" w:gutter="0"/>
          <w:cols w:space="720"/>
          <w:docGrid w:linePitch="360"/>
        </w:sectPr>
      </w:pPr>
    </w:p>
    <w:p w14:paraId="52373956" w14:textId="77777777" w:rsidR="00533675" w:rsidRDefault="001356CF" w:rsidP="00360444">
      <w:pPr>
        <w:widowControl w:val="0"/>
        <w:autoSpaceDE w:val="0"/>
        <w:autoSpaceDN w:val="0"/>
        <w:spacing w:before="24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There was a strong trend for a total production increase with increasing stocking density. The highest productivity was obtained in T3, followed in decreasing order by T2 and T1, respectively; high-density 7fish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262626"/>
          <w:sz w:val="22"/>
          <w:szCs w:val="22"/>
        </w:rPr>
        <w:t>was given significantly higher biomass yield per pond than low-density. This</w:t>
      </w:r>
      <w:r w:rsidRPr="00DF613C">
        <w:rPr>
          <w:rFonts w:ascii="Times New Roman" w:eastAsia="Times New Roman" w:hAnsi="Times New Roman"/>
          <w:color w:val="000000"/>
          <w:sz w:val="22"/>
          <w:szCs w:val="22"/>
        </w:rPr>
        <w:t xml:space="preserve"> might be due to a higher number of individuals contributing to the final harvest.</w:t>
      </w:r>
      <w:r w:rsidRPr="00DF613C">
        <w:rPr>
          <w:rFonts w:ascii="Times New Roman" w:eastAsia="Times New Roman" w:hAnsi="Times New Roman"/>
          <w:color w:val="262626"/>
          <w:sz w:val="22"/>
          <w:szCs w:val="22"/>
        </w:rPr>
        <w:t xml:space="preserve"> </w:t>
      </w:r>
      <w:r w:rsidRPr="00DF613C">
        <w:rPr>
          <w:rFonts w:ascii="Times New Roman" w:eastAsia="Times New Roman" w:hAnsi="Times New Roman"/>
          <w:color w:val="000000"/>
          <w:sz w:val="22"/>
          <w:szCs w:val="22"/>
        </w:rPr>
        <w:t xml:space="preserve">Herrera (2015)  studied the effects of stocking density on growth performance and production of male GIFT tilapia in three </w:t>
      </w:r>
    </w:p>
    <w:p w14:paraId="53D870E3" w14:textId="2B9F7B39" w:rsidR="001356CF" w:rsidRPr="00DF613C" w:rsidRDefault="001356CF" w:rsidP="00360444">
      <w:pPr>
        <w:widowControl w:val="0"/>
        <w:autoSpaceDE w:val="0"/>
        <w:autoSpaceDN w:val="0"/>
        <w:spacing w:before="24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different densities 3, 3.2, and 3.5 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Sophia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(2010) studied the stocking density of 3 and 5 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Hasan </w:t>
      </w:r>
      <w:r w:rsidRPr="00DF613C">
        <w:rPr>
          <w:rFonts w:ascii="Times New Roman" w:eastAsia="Times New Roman" w:hAnsi="Times New Roman"/>
          <w:i/>
          <w:iCs/>
          <w:color w:val="000000"/>
          <w:sz w:val="22"/>
          <w:szCs w:val="22"/>
        </w:rPr>
        <w:t xml:space="preserve">et al. </w:t>
      </w:r>
      <w:r w:rsidRPr="00DF613C">
        <w:rPr>
          <w:rFonts w:ascii="Times New Roman" w:eastAsia="Times New Roman" w:hAnsi="Times New Roman"/>
          <w:color w:val="000000"/>
          <w:sz w:val="22"/>
          <w:szCs w:val="22"/>
        </w:rPr>
        <w:t>(2010) stocked 3.7, 4.9, 6.2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and Ribera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(2009) stocked 2, 4, 6, 8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all those scholars abstracted that the production of fish increased with increasing stocking density and the production of the fish was affected by the stocking density of the fish in the pond. </w:t>
      </w:r>
    </w:p>
    <w:p w14:paraId="316F8829"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p>
    <w:p w14:paraId="1156A891" w14:textId="77777777" w:rsidR="00F44B9D" w:rsidRPr="00DF613C" w:rsidRDefault="00F44B9D" w:rsidP="00360444">
      <w:pPr>
        <w:widowControl w:val="0"/>
        <w:autoSpaceDE w:val="0"/>
        <w:autoSpaceDN w:val="0"/>
        <w:jc w:val="both"/>
        <w:rPr>
          <w:rFonts w:ascii="Times New Roman" w:eastAsia="Times New Roman" w:hAnsi="Times New Roman"/>
          <w:color w:val="000000"/>
          <w:sz w:val="22"/>
          <w:szCs w:val="22"/>
        </w:rPr>
        <w:sectPr w:rsidR="00F44B9D" w:rsidRPr="00DF613C" w:rsidSect="00360444">
          <w:type w:val="continuous"/>
          <w:pgSz w:w="11907" w:h="16839" w:code="9"/>
          <w:pgMar w:top="1440" w:right="1440" w:bottom="1440" w:left="1440" w:header="720" w:footer="720" w:gutter="0"/>
          <w:cols w:num="2" w:space="720"/>
          <w:docGrid w:linePitch="360"/>
        </w:sectPr>
      </w:pPr>
    </w:p>
    <w:p w14:paraId="0222C609" w14:textId="77777777" w:rsidR="00F44B9D" w:rsidRPr="00DF613C" w:rsidRDefault="001356CF" w:rsidP="00360444">
      <w:pPr>
        <w:widowControl w:val="0"/>
        <w:autoSpaceDE w:val="0"/>
        <w:autoSpaceDN w:val="0"/>
        <w:jc w:val="both"/>
        <w:rPr>
          <w:rFonts w:ascii="Times New Roman" w:eastAsia="Times New Roman" w:hAnsi="Times New Roman"/>
          <w:color w:val="000000"/>
          <w:sz w:val="22"/>
          <w:szCs w:val="22"/>
        </w:rPr>
        <w:sectPr w:rsidR="00F44B9D" w:rsidRPr="00DF613C" w:rsidSect="00360444">
          <w:type w:val="continuous"/>
          <w:pgSz w:w="11907" w:h="16839" w:code="9"/>
          <w:pgMar w:top="1440" w:right="1440" w:bottom="1440" w:left="1440" w:header="720" w:footer="720" w:gutter="0"/>
          <w:cols w:space="720"/>
          <w:docGrid w:linePitch="360"/>
        </w:sectPr>
      </w:pPr>
      <w:r w:rsidRPr="00DF613C">
        <w:rPr>
          <w:rFonts w:ascii="Times New Roman" w:eastAsia="Times New Roman" w:hAnsi="Times New Roman"/>
          <w:noProof/>
          <w:sz w:val="22"/>
          <w:szCs w:val="22"/>
          <w:lang w:val="en-US" w:eastAsia="en-US"/>
        </w:rPr>
        <w:drawing>
          <wp:inline distT="0" distB="0" distL="0" distR="0" wp14:anchorId="046D2F78" wp14:editId="6BC2C584">
            <wp:extent cx="45720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C7629D" w14:textId="448D7733"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p>
    <w:p w14:paraId="15906535" w14:textId="77777777" w:rsidR="00F44B9D" w:rsidRPr="00DF613C" w:rsidRDefault="00F44B9D" w:rsidP="00360444">
      <w:pPr>
        <w:widowControl w:val="0"/>
        <w:autoSpaceDE w:val="0"/>
        <w:autoSpaceDN w:val="0"/>
        <w:jc w:val="both"/>
        <w:rPr>
          <w:rFonts w:ascii="Times New Roman" w:eastAsia="Times New Roman" w:hAnsi="Times New Roman"/>
          <w:color w:val="000000"/>
          <w:sz w:val="22"/>
          <w:szCs w:val="22"/>
        </w:rPr>
        <w:sectPr w:rsidR="00F44B9D" w:rsidRPr="00DF613C" w:rsidSect="00360444">
          <w:type w:val="continuous"/>
          <w:pgSz w:w="11907" w:h="16839" w:code="9"/>
          <w:pgMar w:top="1440" w:right="1440" w:bottom="1440" w:left="1440" w:header="720" w:footer="720" w:gutter="0"/>
          <w:cols w:num="2" w:space="720"/>
          <w:docGrid w:linePitch="360"/>
        </w:sectPr>
      </w:pPr>
    </w:p>
    <w:p w14:paraId="621EF314" w14:textId="0B13E6F8"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Figure 6: Production of </w:t>
      </w:r>
      <w:r w:rsidRPr="00DF613C">
        <w:rPr>
          <w:rFonts w:ascii="Times New Roman" w:eastAsia="Times New Roman" w:hAnsi="Times New Roman"/>
          <w:i/>
          <w:iCs/>
          <w:color w:val="000000"/>
          <w:sz w:val="22"/>
          <w:szCs w:val="22"/>
        </w:rPr>
        <w:t xml:space="preserve">O. niloticus </w:t>
      </w:r>
      <w:r w:rsidRPr="00DF613C">
        <w:rPr>
          <w:rFonts w:ascii="Times New Roman" w:eastAsia="Times New Roman" w:hAnsi="Times New Roman"/>
          <w:color w:val="000000"/>
          <w:sz w:val="22"/>
          <w:szCs w:val="22"/>
        </w:rPr>
        <w:t xml:space="preserve">at the different stocking densities </w:t>
      </w:r>
      <w:r w:rsidRPr="00DF613C">
        <w:rPr>
          <w:rFonts w:ascii="Times New Roman" w:eastAsia="Times New Roman" w:hAnsi="Times New Roman"/>
          <w:color w:val="000000"/>
          <w:sz w:val="22"/>
          <w:szCs w:val="22"/>
          <w:vertAlign w:val="superscript"/>
        </w:rPr>
        <w:t>      </w:t>
      </w:r>
    </w:p>
    <w:p w14:paraId="65A2C01F" w14:textId="77777777" w:rsidR="00F44B9D" w:rsidRPr="00DF613C" w:rsidRDefault="00F44B9D" w:rsidP="00360444">
      <w:pPr>
        <w:widowControl w:val="0"/>
        <w:autoSpaceDE w:val="0"/>
        <w:autoSpaceDN w:val="0"/>
        <w:jc w:val="both"/>
        <w:rPr>
          <w:rFonts w:ascii="Times New Roman" w:eastAsia="Times New Roman" w:hAnsi="Times New Roman"/>
          <w:color w:val="000000"/>
          <w:sz w:val="22"/>
          <w:szCs w:val="22"/>
        </w:rPr>
        <w:sectPr w:rsidR="00F44B9D" w:rsidRPr="00DF613C" w:rsidSect="00360444">
          <w:type w:val="continuous"/>
          <w:pgSz w:w="11907" w:h="16839" w:code="9"/>
          <w:pgMar w:top="1440" w:right="1440" w:bottom="1440" w:left="1440" w:header="720" w:footer="720" w:gutter="0"/>
          <w:cols w:space="720"/>
          <w:docGrid w:linePitch="360"/>
        </w:sectPr>
      </w:pPr>
    </w:p>
    <w:p w14:paraId="5860427F" w14:textId="5F8753B2"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p>
    <w:p w14:paraId="0828D399" w14:textId="77777777" w:rsidR="00011651" w:rsidRDefault="00011651" w:rsidP="00360444">
      <w:pPr>
        <w:widowControl w:val="0"/>
        <w:autoSpaceDE w:val="0"/>
        <w:autoSpaceDN w:val="0"/>
        <w:jc w:val="both"/>
        <w:rPr>
          <w:rFonts w:ascii="Times New Roman" w:eastAsia="Times New Roman" w:hAnsi="Times New Roman"/>
          <w:color w:val="000000"/>
          <w:sz w:val="22"/>
          <w:szCs w:val="22"/>
        </w:rPr>
        <w:sectPr w:rsidR="00011651" w:rsidSect="00360444">
          <w:type w:val="continuous"/>
          <w:pgSz w:w="11907" w:h="16839" w:code="9"/>
          <w:pgMar w:top="1440" w:right="1440" w:bottom="1440" w:left="1440" w:header="720" w:footer="720" w:gutter="0"/>
          <w:cols w:num="2" w:space="720"/>
          <w:docGrid w:linePitch="360"/>
        </w:sectPr>
      </w:pPr>
    </w:p>
    <w:p w14:paraId="7FE3E21E" w14:textId="410C1906"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In the present study, the lower stocking density means 3fish</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obtained a high individual growth rate, but, the total production per pond was lower than other stocking densities. This is confirmed by Ashagrie Gebitan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(2008) stocking density is too low, the fish grow faster and reach larger sizes but, the per-unit area production is also low. </w:t>
      </w:r>
      <w:r w:rsidRPr="00DF613C">
        <w:rPr>
          <w:rFonts w:ascii="Times New Roman" w:eastAsia="Times New Roman" w:hAnsi="Times New Roman"/>
          <w:color w:val="212121"/>
          <w:sz w:val="22"/>
          <w:szCs w:val="22"/>
        </w:rPr>
        <w:t>In contrast, with a higher stocking density of 7fishm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individual </w:t>
      </w:r>
      <w:r w:rsidRPr="00DF613C">
        <w:rPr>
          <w:rFonts w:ascii="Times New Roman" w:eastAsia="Times New Roman" w:hAnsi="Times New Roman"/>
          <w:color w:val="000000"/>
          <w:sz w:val="22"/>
          <w:szCs w:val="22"/>
        </w:rPr>
        <w:t xml:space="preserve">growth rate of fish decreases, but yields per unit area are greater. This result also in agreement with (Nahid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 xml:space="preserve">2012; Ashagrie Gebitan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2008). In the present study, male </w:t>
      </w:r>
      <w:r w:rsidRPr="00DF613C">
        <w:rPr>
          <w:rFonts w:ascii="Times New Roman" w:eastAsia="Times New Roman" w:hAnsi="Times New Roman"/>
          <w:i/>
          <w:iCs/>
          <w:color w:val="000000"/>
          <w:sz w:val="22"/>
          <w:szCs w:val="22"/>
        </w:rPr>
        <w:t>O</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 xml:space="preserve">niloticus </w:t>
      </w:r>
      <w:r w:rsidRPr="00DF613C">
        <w:rPr>
          <w:rFonts w:ascii="Times New Roman" w:eastAsia="Times New Roman" w:hAnsi="Times New Roman"/>
          <w:color w:val="000000"/>
          <w:sz w:val="22"/>
          <w:szCs w:val="22"/>
        </w:rPr>
        <w:t>fingerlings stocked 7fishm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212121"/>
          <w:sz w:val="22"/>
          <w:szCs w:val="22"/>
        </w:rPr>
        <w:t>were the best stocking density to obtain maximum production</w:t>
      </w:r>
      <w:r w:rsidRPr="00DF613C">
        <w:rPr>
          <w:rFonts w:ascii="Times New Roman" w:eastAsia="Times New Roman" w:hAnsi="Times New Roman"/>
          <w:color w:val="000000"/>
          <w:sz w:val="22"/>
          <w:szCs w:val="22"/>
        </w:rPr>
        <w:t>. Herrera (2015)</w:t>
      </w:r>
      <w:r w:rsidRPr="00DF613C">
        <w:rPr>
          <w:rFonts w:ascii="Times New Roman" w:eastAsia="Times New Roman" w:hAnsi="Times New Roman"/>
          <w:color w:val="212121"/>
          <w:sz w:val="22"/>
          <w:szCs w:val="22"/>
        </w:rPr>
        <w:t xml:space="preserve"> </w:t>
      </w:r>
      <w:r w:rsidRPr="00DF613C">
        <w:rPr>
          <w:rFonts w:ascii="Times New Roman" w:eastAsia="Times New Roman" w:hAnsi="Times New Roman"/>
          <w:color w:val="000000"/>
          <w:sz w:val="22"/>
          <w:szCs w:val="22"/>
        </w:rPr>
        <w:t xml:space="preserve">the optimum stocking density is the level where the maximum yields are reached. This is indicated that stocking density is one of the </w:t>
      </w:r>
      <w:r w:rsidRPr="00DF613C">
        <w:rPr>
          <w:rFonts w:ascii="Times New Roman" w:eastAsia="Times New Roman" w:hAnsi="Times New Roman"/>
          <w:color w:val="000000"/>
          <w:sz w:val="22"/>
          <w:szCs w:val="22"/>
        </w:rPr>
        <w:lastRenderedPageBreak/>
        <w:t>most important factors in determining the production of a fish farm.</w:t>
      </w:r>
    </w:p>
    <w:p w14:paraId="64668CE3"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4D37C132" w14:textId="6B31EE63" w:rsidR="001356CF" w:rsidRPr="00DF613C" w:rsidRDefault="001356CF" w:rsidP="00360444">
      <w:pPr>
        <w:pStyle w:val="ListParagraph"/>
        <w:widowControl w:val="0"/>
        <w:numPr>
          <w:ilvl w:val="1"/>
          <w:numId w:val="4"/>
        </w:numPr>
        <w:autoSpaceDE w:val="0"/>
        <w:autoSpaceDN w:val="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Total Food provided for the Experimental fish and Feed conversion ratio </w:t>
      </w:r>
    </w:p>
    <w:p w14:paraId="6EFB881B" w14:textId="77777777" w:rsidR="001356CF" w:rsidRDefault="001356CF" w:rsidP="00360444">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The total feed provided in the stocking density 3, 5, and 7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was 13,061.22</w:t>
      </w:r>
      <w:r w:rsidRPr="00DF613C">
        <w:rPr>
          <w:rFonts w:ascii="Times New Roman" w:eastAsia="Times New Roman" w:hAnsi="Times New Roman"/>
          <w:b/>
          <w:bCs/>
          <w:color w:val="000000"/>
          <w:sz w:val="22"/>
          <w:szCs w:val="22"/>
        </w:rPr>
        <w:t xml:space="preserve"> </w:t>
      </w:r>
      <w:r w:rsidRPr="00DF613C">
        <w:rPr>
          <w:rFonts w:ascii="Times New Roman" w:eastAsia="Times New Roman" w:hAnsi="Times New Roman"/>
          <w:color w:val="000000"/>
          <w:sz w:val="22"/>
          <w:szCs w:val="22"/>
        </w:rPr>
        <w:t>g 19,854.59 g, and 25,555.11</w:t>
      </w:r>
      <w:r w:rsidRPr="00DF613C">
        <w:rPr>
          <w:rFonts w:ascii="Times New Roman" w:eastAsia="Times New Roman" w:hAnsi="Times New Roman"/>
          <w:b/>
          <w:bCs/>
          <w:color w:val="000000"/>
          <w:sz w:val="22"/>
          <w:szCs w:val="22"/>
        </w:rPr>
        <w:t xml:space="preserve"> </w:t>
      </w:r>
      <w:r w:rsidRPr="00DF613C">
        <w:rPr>
          <w:rFonts w:ascii="Times New Roman" w:eastAsia="Times New Roman" w:hAnsi="Times New Roman"/>
          <w:color w:val="000000"/>
          <w:sz w:val="22"/>
          <w:szCs w:val="22"/>
        </w:rPr>
        <w:t xml:space="preserve">g respectively. The total feed provided by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fingerlings during the culturing period was affected by stocking densities. The feed conversion ratio </w:t>
      </w:r>
      <w:r w:rsidRPr="00DF613C">
        <w:rPr>
          <w:rFonts w:ascii="Times New Roman" w:eastAsia="Times New Roman" w:hAnsi="Times New Roman"/>
          <w:color w:val="000000"/>
          <w:sz w:val="22"/>
          <w:szCs w:val="22"/>
        </w:rPr>
        <w:t xml:space="preserve">(FCR) obtained from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fishes at different stocking densities during the culture period ranged from 2.91 to 3.18. The lowest (best) means feed conversion ratio (2.98 ± 0.04) was obtained at the stocking density of 3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and the highest (poorest) mean feed conversion ratio (3.15 ± 0.01) was observed at the highest stocking density of 7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The experiment revealed that the food conversion ratio was affected by stocking density and the difference was significant (p &lt; 0.05).</w:t>
      </w:r>
    </w:p>
    <w:p w14:paraId="3BA9A2E1" w14:textId="77777777" w:rsidR="00011651" w:rsidRDefault="00011651" w:rsidP="00360444">
      <w:pPr>
        <w:widowControl w:val="0"/>
        <w:autoSpaceDE w:val="0"/>
        <w:autoSpaceDN w:val="0"/>
        <w:jc w:val="both"/>
        <w:rPr>
          <w:rFonts w:ascii="Times New Roman" w:eastAsia="Times New Roman" w:hAnsi="Times New Roman"/>
          <w:color w:val="000000"/>
          <w:sz w:val="22"/>
          <w:szCs w:val="22"/>
        </w:rPr>
        <w:sectPr w:rsidR="00011651" w:rsidSect="00360444">
          <w:type w:val="continuous"/>
          <w:pgSz w:w="11907" w:h="16839" w:code="9"/>
          <w:pgMar w:top="1440" w:right="1440" w:bottom="1440" w:left="1440" w:header="720" w:footer="720" w:gutter="0"/>
          <w:cols w:num="2" w:space="720"/>
          <w:docGrid w:linePitch="360"/>
        </w:sectPr>
      </w:pPr>
    </w:p>
    <w:p w14:paraId="2B5D73A1" w14:textId="214A54F3" w:rsidR="00011651" w:rsidRPr="00DF613C" w:rsidRDefault="00011651" w:rsidP="00360444">
      <w:pPr>
        <w:widowControl w:val="0"/>
        <w:autoSpaceDE w:val="0"/>
        <w:autoSpaceDN w:val="0"/>
        <w:jc w:val="both"/>
        <w:rPr>
          <w:rFonts w:ascii="Times New Roman" w:eastAsia="Times New Roman" w:hAnsi="Times New Roman"/>
          <w:color w:val="000000"/>
          <w:sz w:val="22"/>
          <w:szCs w:val="22"/>
        </w:rPr>
      </w:pPr>
    </w:p>
    <w:p w14:paraId="42A1780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p w14:paraId="7F5DDF83" w14:textId="77777777" w:rsidR="00655D5B" w:rsidRPr="00DF613C" w:rsidRDefault="00655D5B" w:rsidP="00360444">
      <w:pPr>
        <w:widowControl w:val="0"/>
        <w:autoSpaceDE w:val="0"/>
        <w:autoSpaceDN w:val="0"/>
        <w:jc w:val="both"/>
        <w:rPr>
          <w:rFonts w:ascii="Times New Roman" w:eastAsia="Times New Roman" w:hAnsi="Times New Roman"/>
          <w:b/>
          <w:bCs/>
          <w:color w:val="000000"/>
          <w:sz w:val="22"/>
          <w:szCs w:val="22"/>
        </w:rPr>
        <w:sectPr w:rsidR="00655D5B" w:rsidRPr="00DF613C" w:rsidSect="00360444">
          <w:type w:val="continuous"/>
          <w:pgSz w:w="11907" w:h="16839" w:code="9"/>
          <w:pgMar w:top="1440" w:right="1440" w:bottom="1440" w:left="1440" w:header="720" w:footer="720" w:gutter="0"/>
          <w:cols w:num="2" w:space="720"/>
          <w:docGrid w:linePitch="360"/>
        </w:sectPr>
      </w:pPr>
    </w:p>
    <w:p w14:paraId="39591032" w14:textId="27F1B949"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Table 3:</w:t>
      </w:r>
      <w:r w:rsidRPr="00DF613C">
        <w:rPr>
          <w:rFonts w:ascii="Times New Roman" w:eastAsia="Times New Roman" w:hAnsi="Times New Roman"/>
          <w:color w:val="000000"/>
          <w:sz w:val="22"/>
          <w:szCs w:val="22"/>
        </w:rPr>
        <w:t xml:space="preserve"> Total amount of feed provided and feed conversion ratio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18"/>
        <w:gridCol w:w="1800"/>
        <w:gridCol w:w="1980"/>
        <w:gridCol w:w="1800"/>
        <w:gridCol w:w="1278"/>
      </w:tblGrid>
      <w:tr w:rsidR="001356CF" w:rsidRPr="00DF613C" w14:paraId="302A6851" w14:textId="77777777" w:rsidTr="00BC5C5E">
        <w:trPr>
          <w:trHeight w:val="620"/>
        </w:trPr>
        <w:tc>
          <w:tcPr>
            <w:tcW w:w="2718" w:type="dxa"/>
            <w:vMerge w:val="restart"/>
            <w:tcBorders>
              <w:top w:val="single" w:sz="4" w:space="0" w:color="000000"/>
            </w:tcBorders>
            <w:tcMar>
              <w:top w:w="0" w:type="dxa"/>
              <w:left w:w="108" w:type="dxa"/>
              <w:bottom w:w="0" w:type="dxa"/>
              <w:right w:w="108" w:type="dxa"/>
            </w:tcMar>
            <w:hideMark/>
          </w:tcPr>
          <w:p w14:paraId="28CF2C80" w14:textId="77777777" w:rsidR="001356CF" w:rsidRPr="00DF613C" w:rsidRDefault="001356CF" w:rsidP="00360444">
            <w:pPr>
              <w:widowControl w:val="0"/>
              <w:autoSpaceDE w:val="0"/>
              <w:autoSpaceDN w:val="0"/>
              <w:spacing w:after="240"/>
              <w:jc w:val="both"/>
              <w:rPr>
                <w:rFonts w:ascii="Times New Roman" w:eastAsia="Times New Roman" w:hAnsi="Times New Roman"/>
                <w:sz w:val="22"/>
                <w:szCs w:val="22"/>
              </w:rPr>
            </w:pPr>
            <w:r w:rsidRPr="00DF613C">
              <w:rPr>
                <w:rFonts w:ascii="Times New Roman" w:eastAsia="Times New Roman" w:hAnsi="Times New Roman"/>
                <w:sz w:val="22"/>
                <w:szCs w:val="22"/>
              </w:rPr>
              <w:br/>
            </w:r>
          </w:p>
        </w:tc>
        <w:tc>
          <w:tcPr>
            <w:tcW w:w="1800" w:type="dxa"/>
            <w:tcBorders>
              <w:top w:val="single" w:sz="4" w:space="0" w:color="000000"/>
              <w:bottom w:val="single" w:sz="4" w:space="0" w:color="000000"/>
            </w:tcBorders>
            <w:tcMar>
              <w:top w:w="0" w:type="dxa"/>
              <w:left w:w="108" w:type="dxa"/>
              <w:bottom w:w="0" w:type="dxa"/>
              <w:right w:w="108" w:type="dxa"/>
            </w:tcMar>
            <w:hideMark/>
          </w:tcPr>
          <w:p w14:paraId="2EEAF847"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Treatment</w:t>
            </w:r>
          </w:p>
        </w:tc>
        <w:tc>
          <w:tcPr>
            <w:tcW w:w="1980" w:type="dxa"/>
            <w:tcBorders>
              <w:top w:val="single" w:sz="4" w:space="0" w:color="000000"/>
              <w:bottom w:val="single" w:sz="4" w:space="0" w:color="000000"/>
            </w:tcBorders>
            <w:tcMar>
              <w:top w:w="0" w:type="dxa"/>
              <w:left w:w="108" w:type="dxa"/>
              <w:bottom w:w="0" w:type="dxa"/>
              <w:right w:w="108" w:type="dxa"/>
            </w:tcMar>
            <w:hideMark/>
          </w:tcPr>
          <w:p w14:paraId="0743841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800" w:type="dxa"/>
            <w:tcBorders>
              <w:top w:val="single" w:sz="4" w:space="0" w:color="000000"/>
              <w:bottom w:val="single" w:sz="4" w:space="0" w:color="000000"/>
            </w:tcBorders>
            <w:tcMar>
              <w:top w:w="0" w:type="dxa"/>
              <w:left w:w="108" w:type="dxa"/>
              <w:bottom w:w="0" w:type="dxa"/>
              <w:right w:w="108" w:type="dxa"/>
            </w:tcMar>
            <w:hideMark/>
          </w:tcPr>
          <w:p w14:paraId="442F97C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278" w:type="dxa"/>
            <w:tcBorders>
              <w:top w:val="single" w:sz="4" w:space="0" w:color="000000"/>
              <w:bottom w:val="single" w:sz="4" w:space="0" w:color="000000"/>
            </w:tcBorders>
            <w:tcMar>
              <w:top w:w="0" w:type="dxa"/>
              <w:left w:w="108" w:type="dxa"/>
              <w:bottom w:w="0" w:type="dxa"/>
              <w:right w:w="108" w:type="dxa"/>
            </w:tcMar>
            <w:hideMark/>
          </w:tcPr>
          <w:p w14:paraId="70DED8A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r>
      <w:tr w:rsidR="001356CF" w:rsidRPr="00DF613C" w14:paraId="09E494AC" w14:textId="77777777" w:rsidTr="00BC5C5E">
        <w:trPr>
          <w:trHeight w:val="620"/>
        </w:trPr>
        <w:tc>
          <w:tcPr>
            <w:tcW w:w="2718" w:type="dxa"/>
            <w:vMerge/>
            <w:tcBorders>
              <w:top w:val="single" w:sz="4" w:space="0" w:color="000000"/>
            </w:tcBorders>
            <w:vAlign w:val="center"/>
            <w:hideMark/>
          </w:tcPr>
          <w:p w14:paraId="65F0C99C"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800" w:type="dxa"/>
            <w:tcBorders>
              <w:top w:val="single" w:sz="4" w:space="0" w:color="000000"/>
            </w:tcBorders>
            <w:tcMar>
              <w:top w:w="0" w:type="dxa"/>
              <w:left w:w="108" w:type="dxa"/>
              <w:bottom w:w="0" w:type="dxa"/>
              <w:right w:w="108" w:type="dxa"/>
            </w:tcMar>
            <w:hideMark/>
          </w:tcPr>
          <w:p w14:paraId="61734BDF"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3fingerlings m</w:t>
            </w:r>
            <w:r w:rsidRPr="00DF613C">
              <w:rPr>
                <w:rFonts w:ascii="Times New Roman" w:eastAsia="Times New Roman" w:hAnsi="Times New Roman"/>
                <w:color w:val="000000"/>
                <w:sz w:val="22"/>
                <w:szCs w:val="22"/>
                <w:vertAlign w:val="superscript"/>
              </w:rPr>
              <w:t>-2</w:t>
            </w:r>
          </w:p>
          <w:p w14:paraId="1F32A0E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980" w:type="dxa"/>
            <w:tcBorders>
              <w:top w:val="single" w:sz="4" w:space="0" w:color="000000"/>
            </w:tcBorders>
            <w:tcMar>
              <w:top w:w="0" w:type="dxa"/>
              <w:left w:w="108" w:type="dxa"/>
              <w:bottom w:w="0" w:type="dxa"/>
              <w:right w:w="108" w:type="dxa"/>
            </w:tcMar>
            <w:hideMark/>
          </w:tcPr>
          <w:p w14:paraId="745461B0"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5fingerlings m</w:t>
            </w:r>
            <w:r w:rsidRPr="00DF613C">
              <w:rPr>
                <w:rFonts w:ascii="Times New Roman" w:eastAsia="Times New Roman" w:hAnsi="Times New Roman"/>
                <w:color w:val="000000"/>
                <w:sz w:val="22"/>
                <w:szCs w:val="22"/>
                <w:vertAlign w:val="superscript"/>
              </w:rPr>
              <w:t>-2</w:t>
            </w:r>
          </w:p>
          <w:p w14:paraId="6434829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800" w:type="dxa"/>
            <w:tcBorders>
              <w:top w:val="single" w:sz="4" w:space="0" w:color="000000"/>
            </w:tcBorders>
            <w:tcMar>
              <w:top w:w="0" w:type="dxa"/>
              <w:left w:w="108" w:type="dxa"/>
              <w:bottom w:w="0" w:type="dxa"/>
              <w:right w:w="108" w:type="dxa"/>
            </w:tcMar>
            <w:hideMark/>
          </w:tcPr>
          <w:p w14:paraId="4D83AD9B"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7fingerlings m</w:t>
            </w:r>
            <w:r w:rsidRPr="00DF613C">
              <w:rPr>
                <w:rFonts w:ascii="Times New Roman" w:eastAsia="Times New Roman" w:hAnsi="Times New Roman"/>
                <w:color w:val="000000"/>
                <w:sz w:val="22"/>
                <w:szCs w:val="22"/>
                <w:vertAlign w:val="superscript"/>
              </w:rPr>
              <w:t>-2</w:t>
            </w:r>
          </w:p>
          <w:p w14:paraId="4FA7F4B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278" w:type="dxa"/>
            <w:tcBorders>
              <w:top w:val="single" w:sz="4" w:space="0" w:color="000000"/>
            </w:tcBorders>
            <w:tcMar>
              <w:top w:w="0" w:type="dxa"/>
              <w:left w:w="108" w:type="dxa"/>
              <w:bottom w:w="0" w:type="dxa"/>
              <w:right w:w="108" w:type="dxa"/>
            </w:tcMar>
            <w:hideMark/>
          </w:tcPr>
          <w:p w14:paraId="7963EF69"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P-value</w:t>
            </w:r>
          </w:p>
        </w:tc>
      </w:tr>
      <w:tr w:rsidR="001356CF" w:rsidRPr="00DF613C" w14:paraId="4CBA08CE" w14:textId="77777777" w:rsidTr="00BC5C5E">
        <w:trPr>
          <w:trHeight w:val="657"/>
        </w:trPr>
        <w:tc>
          <w:tcPr>
            <w:tcW w:w="2718" w:type="dxa"/>
            <w:tcMar>
              <w:top w:w="0" w:type="dxa"/>
              <w:left w:w="108" w:type="dxa"/>
              <w:bottom w:w="0" w:type="dxa"/>
              <w:right w:w="108" w:type="dxa"/>
            </w:tcMar>
            <w:hideMark/>
          </w:tcPr>
          <w:p w14:paraId="212831D3"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Total feed provided (g) </w:t>
            </w:r>
          </w:p>
        </w:tc>
        <w:tc>
          <w:tcPr>
            <w:tcW w:w="1800" w:type="dxa"/>
            <w:tcMar>
              <w:top w:w="0" w:type="dxa"/>
              <w:left w:w="108" w:type="dxa"/>
              <w:bottom w:w="0" w:type="dxa"/>
              <w:right w:w="108" w:type="dxa"/>
            </w:tcMar>
            <w:hideMark/>
          </w:tcPr>
          <w:p w14:paraId="1E0C2CFE"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13,061.22</w:t>
            </w:r>
            <w:r w:rsidRPr="00DF613C">
              <w:rPr>
                <w:rFonts w:ascii="Times New Roman" w:eastAsia="Times New Roman" w:hAnsi="Times New Roman"/>
                <w:color w:val="000000"/>
                <w:sz w:val="22"/>
                <w:szCs w:val="22"/>
                <w:vertAlign w:val="superscript"/>
              </w:rPr>
              <w:t>a</w:t>
            </w:r>
          </w:p>
        </w:tc>
        <w:tc>
          <w:tcPr>
            <w:tcW w:w="1980" w:type="dxa"/>
            <w:tcMar>
              <w:top w:w="0" w:type="dxa"/>
              <w:left w:w="108" w:type="dxa"/>
              <w:bottom w:w="0" w:type="dxa"/>
              <w:right w:w="108" w:type="dxa"/>
            </w:tcMar>
            <w:hideMark/>
          </w:tcPr>
          <w:p w14:paraId="5426CEBC"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19,854.59</w:t>
            </w:r>
            <w:r w:rsidRPr="00DF613C">
              <w:rPr>
                <w:rFonts w:ascii="Times New Roman" w:eastAsia="Times New Roman" w:hAnsi="Times New Roman"/>
                <w:color w:val="000000"/>
                <w:sz w:val="22"/>
                <w:szCs w:val="22"/>
                <w:vertAlign w:val="superscript"/>
              </w:rPr>
              <w:t>b</w:t>
            </w:r>
          </w:p>
          <w:p w14:paraId="6FD5E08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800" w:type="dxa"/>
            <w:tcMar>
              <w:top w:w="0" w:type="dxa"/>
              <w:left w:w="108" w:type="dxa"/>
              <w:bottom w:w="0" w:type="dxa"/>
              <w:right w:w="108" w:type="dxa"/>
            </w:tcMar>
            <w:hideMark/>
          </w:tcPr>
          <w:p w14:paraId="7B1494C1"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25,555.11</w:t>
            </w:r>
            <w:r w:rsidRPr="00DF613C">
              <w:rPr>
                <w:rFonts w:ascii="Times New Roman" w:eastAsia="Times New Roman" w:hAnsi="Times New Roman"/>
                <w:color w:val="000000"/>
                <w:sz w:val="22"/>
                <w:szCs w:val="22"/>
                <w:vertAlign w:val="superscript"/>
              </w:rPr>
              <w:t>c</w:t>
            </w:r>
          </w:p>
          <w:p w14:paraId="5F9BA2F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p>
        </w:tc>
        <w:tc>
          <w:tcPr>
            <w:tcW w:w="1278" w:type="dxa"/>
            <w:tcMar>
              <w:top w:w="0" w:type="dxa"/>
              <w:left w:w="108" w:type="dxa"/>
              <w:bottom w:w="0" w:type="dxa"/>
              <w:right w:w="108" w:type="dxa"/>
            </w:tcMar>
            <w:hideMark/>
          </w:tcPr>
          <w:p w14:paraId="70C83C31"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&lt;.0001</w:t>
            </w:r>
          </w:p>
        </w:tc>
      </w:tr>
      <w:tr w:rsidR="001356CF" w:rsidRPr="00DF613C" w14:paraId="6159E446" w14:textId="77777777" w:rsidTr="00BC5C5E">
        <w:trPr>
          <w:trHeight w:val="80"/>
        </w:trPr>
        <w:tc>
          <w:tcPr>
            <w:tcW w:w="2718" w:type="dxa"/>
            <w:tcBorders>
              <w:bottom w:val="single" w:sz="4" w:space="0" w:color="000000"/>
            </w:tcBorders>
            <w:tcMar>
              <w:top w:w="0" w:type="dxa"/>
              <w:left w:w="108" w:type="dxa"/>
              <w:bottom w:w="0" w:type="dxa"/>
              <w:right w:w="108" w:type="dxa"/>
            </w:tcMar>
            <w:hideMark/>
          </w:tcPr>
          <w:p w14:paraId="17F09AFC"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The feed conversion ratio</w:t>
            </w:r>
          </w:p>
        </w:tc>
        <w:tc>
          <w:tcPr>
            <w:tcW w:w="1800" w:type="dxa"/>
            <w:tcBorders>
              <w:bottom w:val="single" w:sz="4" w:space="0" w:color="000000"/>
            </w:tcBorders>
            <w:tcMar>
              <w:top w:w="0" w:type="dxa"/>
              <w:left w:w="108" w:type="dxa"/>
              <w:bottom w:w="0" w:type="dxa"/>
              <w:right w:w="108" w:type="dxa"/>
            </w:tcMar>
            <w:hideMark/>
          </w:tcPr>
          <w:p w14:paraId="0476685A"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2.98 ± 0.04</w:t>
            </w:r>
            <w:r w:rsidRPr="00DF613C">
              <w:rPr>
                <w:rFonts w:ascii="Times New Roman" w:eastAsia="Times New Roman" w:hAnsi="Times New Roman"/>
                <w:color w:val="000000"/>
                <w:sz w:val="22"/>
                <w:szCs w:val="22"/>
                <w:vertAlign w:val="superscript"/>
              </w:rPr>
              <w:t xml:space="preserve">b </w:t>
            </w:r>
            <w:r w:rsidRPr="00DF613C">
              <w:rPr>
                <w:rFonts w:ascii="Times New Roman" w:eastAsia="Times New Roman" w:hAnsi="Times New Roman"/>
                <w:color w:val="000000"/>
                <w:sz w:val="22"/>
                <w:szCs w:val="22"/>
              </w:rPr>
              <w:t>  </w:t>
            </w:r>
          </w:p>
        </w:tc>
        <w:tc>
          <w:tcPr>
            <w:tcW w:w="1980" w:type="dxa"/>
            <w:tcBorders>
              <w:bottom w:val="single" w:sz="4" w:space="0" w:color="000000"/>
            </w:tcBorders>
            <w:tcMar>
              <w:top w:w="0" w:type="dxa"/>
              <w:left w:w="108" w:type="dxa"/>
              <w:bottom w:w="0" w:type="dxa"/>
              <w:right w:w="108" w:type="dxa"/>
            </w:tcMar>
            <w:hideMark/>
          </w:tcPr>
          <w:p w14:paraId="4D8DFE04"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3.12± 0.02</w:t>
            </w:r>
            <w:r w:rsidRPr="00DF613C">
              <w:rPr>
                <w:rFonts w:ascii="Times New Roman" w:eastAsia="Times New Roman" w:hAnsi="Times New Roman"/>
                <w:color w:val="000000"/>
                <w:sz w:val="22"/>
                <w:szCs w:val="22"/>
                <w:vertAlign w:val="superscript"/>
              </w:rPr>
              <w:t>a</w:t>
            </w:r>
          </w:p>
        </w:tc>
        <w:tc>
          <w:tcPr>
            <w:tcW w:w="1800" w:type="dxa"/>
            <w:tcBorders>
              <w:bottom w:val="single" w:sz="4" w:space="0" w:color="000000"/>
            </w:tcBorders>
            <w:tcMar>
              <w:top w:w="0" w:type="dxa"/>
              <w:left w:w="108" w:type="dxa"/>
              <w:bottom w:w="0" w:type="dxa"/>
              <w:right w:w="108" w:type="dxa"/>
            </w:tcMar>
            <w:hideMark/>
          </w:tcPr>
          <w:p w14:paraId="5B56B791"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3.15 ± 0.01</w:t>
            </w:r>
            <w:r w:rsidRPr="00DF613C">
              <w:rPr>
                <w:rFonts w:ascii="Times New Roman" w:eastAsia="Times New Roman" w:hAnsi="Times New Roman"/>
                <w:color w:val="000000"/>
                <w:sz w:val="22"/>
                <w:szCs w:val="22"/>
                <w:vertAlign w:val="superscript"/>
              </w:rPr>
              <w:t>a</w:t>
            </w:r>
          </w:p>
        </w:tc>
        <w:tc>
          <w:tcPr>
            <w:tcW w:w="1278" w:type="dxa"/>
            <w:tcBorders>
              <w:bottom w:val="single" w:sz="4" w:space="0" w:color="000000"/>
            </w:tcBorders>
            <w:tcMar>
              <w:top w:w="0" w:type="dxa"/>
              <w:left w:w="108" w:type="dxa"/>
              <w:bottom w:w="0" w:type="dxa"/>
              <w:right w:w="108" w:type="dxa"/>
            </w:tcMar>
            <w:hideMark/>
          </w:tcPr>
          <w:p w14:paraId="28CD26E5"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&lt;.01</w:t>
            </w:r>
          </w:p>
        </w:tc>
      </w:tr>
    </w:tbl>
    <w:p w14:paraId="7AE72CA6" w14:textId="77777777" w:rsidR="00655D5B" w:rsidRPr="00DF613C" w:rsidRDefault="00655D5B" w:rsidP="00360444">
      <w:pPr>
        <w:widowControl w:val="0"/>
        <w:autoSpaceDE w:val="0"/>
        <w:autoSpaceDN w:val="0"/>
        <w:spacing w:before="240"/>
        <w:jc w:val="both"/>
        <w:rPr>
          <w:rFonts w:ascii="Times New Roman" w:eastAsia="Times New Roman" w:hAnsi="Times New Roman"/>
          <w:color w:val="000000"/>
          <w:sz w:val="22"/>
          <w:szCs w:val="22"/>
        </w:rPr>
        <w:sectPr w:rsidR="00655D5B" w:rsidRPr="00DF613C" w:rsidSect="00360444">
          <w:type w:val="continuous"/>
          <w:pgSz w:w="11907" w:h="16839" w:code="9"/>
          <w:pgMar w:top="1440" w:right="1440" w:bottom="1440" w:left="1440" w:header="720" w:footer="720" w:gutter="0"/>
          <w:cols w:space="720"/>
          <w:docGrid w:linePitch="360"/>
        </w:sectPr>
      </w:pPr>
    </w:p>
    <w:p w14:paraId="3CAF15A5" w14:textId="77777777" w:rsidR="00B2093B" w:rsidRDefault="001356CF" w:rsidP="00360444">
      <w:pPr>
        <w:widowControl w:val="0"/>
        <w:autoSpaceDE w:val="0"/>
        <w:autoSpaceDN w:val="0"/>
        <w:spacing w:before="24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The total feed provided to the experimental fish was positively related to stocking density, the total feed offered increased with an increased stocking density because the feed offered was based on average live weights in each pond multiplied by the number of fish. This result is in agreement with (Sophia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2010) abstracted that the highest density received more feed.</w:t>
      </w:r>
      <w:r w:rsidRPr="00DF613C">
        <w:rPr>
          <w:rFonts w:ascii="Times New Roman" w:eastAsia="Times New Roman" w:hAnsi="Times New Roman"/>
          <w:sz w:val="22"/>
          <w:szCs w:val="22"/>
        </w:rPr>
        <w:t xml:space="preserve"> </w:t>
      </w:r>
      <w:r w:rsidRPr="00DF613C">
        <w:rPr>
          <w:rFonts w:ascii="Times New Roman" w:eastAsia="Times New Roman" w:hAnsi="Times New Roman"/>
          <w:color w:val="000000"/>
          <w:sz w:val="22"/>
          <w:szCs w:val="22"/>
        </w:rPr>
        <w:t xml:space="preserve">The ability of fish to convert feed given to biomass (Feed conversion ratio FCR) was affected by increasing stocking density. The best FCR was obtained with a lower stocking density than higher densities. It might be feed computation during feeding. This is proven by (Thorarensen and Farrell, 2010) under cultural conditions, the fish obtaining feed increase their swimming speed; these activities require energetic cost, which increases due to agonistic interactions. This contributed to lower growth performance in the higher stocking density. In the present study, the growth performance of fingerlings decreases with increasing stocking density it might be due to poor feed utilization. Because daily weight gain and specific growth rate generally decreased with increasing </w:t>
      </w:r>
    </w:p>
    <w:p w14:paraId="50973D67" w14:textId="23DE25DF"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stocking density indicating the decreasing feed utilization ability. This was in agreement with different scholars (Hasan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2010; Garcia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2013; Herrera, 2015) reported that, by reducing the initial stocking density from higher stocking density to lower stocking density, the growth performance of tilapia fish was higher and the feed conversion rate was better.</w:t>
      </w:r>
    </w:p>
    <w:p w14:paraId="551B6871" w14:textId="6210B551" w:rsidR="001356CF" w:rsidRPr="00DF613C" w:rsidRDefault="001356CF" w:rsidP="00360444">
      <w:pPr>
        <w:pStyle w:val="ListParagraph"/>
        <w:widowControl w:val="0"/>
        <w:numPr>
          <w:ilvl w:val="1"/>
          <w:numId w:val="4"/>
        </w:numPr>
        <w:autoSpaceDE w:val="0"/>
        <w:autoSpaceDN w:val="0"/>
        <w:spacing w:before="200"/>
        <w:ind w:firstLineChars="0"/>
        <w:jc w:val="both"/>
        <w:outlineLvl w:val="1"/>
        <w:rPr>
          <w:rFonts w:ascii="Times New Roman" w:eastAsia="Times New Roman" w:hAnsi="Times New Roman"/>
          <w:b/>
          <w:bCs/>
          <w:sz w:val="22"/>
          <w:szCs w:val="22"/>
        </w:rPr>
      </w:pPr>
      <w:r w:rsidRPr="00DF613C">
        <w:rPr>
          <w:rFonts w:ascii="Times New Roman" w:eastAsia="Times New Roman" w:hAnsi="Times New Roman"/>
          <w:b/>
          <w:bCs/>
          <w:color w:val="000000"/>
          <w:sz w:val="22"/>
          <w:szCs w:val="22"/>
        </w:rPr>
        <w:t>Partial Budget Analysis</w:t>
      </w:r>
    </w:p>
    <w:p w14:paraId="17829098"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 xml:space="preserve">After ending the experiment the net profit was highest (384.3 </w:t>
      </w:r>
      <w:r w:rsidRPr="00DF613C">
        <w:rPr>
          <w:rFonts w:ascii="Times New Roman" w:eastAsia="Times New Roman" w:hAnsi="Times New Roman"/>
          <w:color w:val="111111"/>
          <w:sz w:val="22"/>
          <w:szCs w:val="22"/>
        </w:rPr>
        <w:t xml:space="preserve">Birr) </w:t>
      </w:r>
      <w:r w:rsidRPr="00DF613C">
        <w:rPr>
          <w:rFonts w:ascii="Times New Roman" w:eastAsia="Times New Roman" w:hAnsi="Times New Roman"/>
          <w:color w:val="000000"/>
          <w:sz w:val="22"/>
          <w:szCs w:val="22"/>
        </w:rPr>
        <w:t>in 7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(306.75 </w:t>
      </w:r>
      <w:r w:rsidRPr="00DF613C">
        <w:rPr>
          <w:rFonts w:ascii="Times New Roman" w:eastAsia="Times New Roman" w:hAnsi="Times New Roman"/>
          <w:color w:val="111111"/>
          <w:sz w:val="22"/>
          <w:szCs w:val="22"/>
        </w:rPr>
        <w:t>Birr</w:t>
      </w:r>
      <w:r w:rsidRPr="00DF613C">
        <w:rPr>
          <w:rFonts w:ascii="Times New Roman" w:eastAsia="Times New Roman" w:hAnsi="Times New Roman"/>
          <w:color w:val="000000"/>
          <w:sz w:val="22"/>
          <w:szCs w:val="22"/>
        </w:rPr>
        <w:t>) in 5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and (216.95 </w:t>
      </w:r>
      <w:r w:rsidRPr="00DF613C">
        <w:rPr>
          <w:rFonts w:ascii="Times New Roman" w:eastAsia="Times New Roman" w:hAnsi="Times New Roman"/>
          <w:color w:val="111111"/>
          <w:sz w:val="22"/>
          <w:szCs w:val="22"/>
        </w:rPr>
        <w:t>Birr</w:t>
      </w:r>
      <w:r w:rsidRPr="00DF613C">
        <w:rPr>
          <w:rFonts w:ascii="Times New Roman" w:eastAsia="Times New Roman" w:hAnsi="Times New Roman"/>
          <w:color w:val="000000"/>
          <w:sz w:val="22"/>
          <w:szCs w:val="22"/>
        </w:rPr>
        <w:t>) in 3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respectively. It was also observed that the net profit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/6 months was highest (38.39 Birr) with a stocking density of 7fingerlings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while the lowest net profit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/6 months (21.69 Birr) was obtained with a stocking density of 3fingerlings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Regarding the profit contribution, 7 fingerlings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contribute the highest (42.31%) followed by 5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(33.76%) and 3 fingerlings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xml:space="preserve"> (23.91%), respectively.</w:t>
      </w:r>
    </w:p>
    <w:p w14:paraId="06F1CD05" w14:textId="77777777" w:rsidR="001356CF" w:rsidRPr="00DF613C" w:rsidRDefault="001356CF" w:rsidP="00360444">
      <w:pPr>
        <w:widowControl w:val="0"/>
        <w:autoSpaceDE w:val="0"/>
        <w:autoSpaceDN w:val="0"/>
        <w:jc w:val="both"/>
        <w:rPr>
          <w:rFonts w:ascii="Times New Roman" w:eastAsia="Times New Roman" w:hAnsi="Times New Roman"/>
          <w:color w:val="000000"/>
          <w:sz w:val="22"/>
          <w:szCs w:val="22"/>
        </w:rPr>
      </w:pPr>
    </w:p>
    <w:p w14:paraId="74FC29FE" w14:textId="77777777" w:rsidR="000628F3" w:rsidRPr="00DF613C" w:rsidRDefault="000628F3" w:rsidP="00360444">
      <w:pPr>
        <w:jc w:val="both"/>
        <w:rPr>
          <w:rFonts w:ascii="Times New Roman" w:eastAsia="Times New Roman" w:hAnsi="Times New Roman"/>
          <w:b/>
          <w:bCs/>
          <w:color w:val="000000"/>
          <w:sz w:val="22"/>
          <w:szCs w:val="22"/>
        </w:rPr>
        <w:sectPr w:rsidR="000628F3" w:rsidRPr="00DF613C" w:rsidSect="00360444">
          <w:type w:val="continuous"/>
          <w:pgSz w:w="11907" w:h="16839" w:code="9"/>
          <w:pgMar w:top="1440" w:right="1440" w:bottom="1440" w:left="1440" w:header="720" w:footer="720" w:gutter="0"/>
          <w:cols w:num="2" w:space="720"/>
          <w:docGrid w:linePitch="360"/>
        </w:sectPr>
      </w:pPr>
    </w:p>
    <w:p w14:paraId="51A05BE1" w14:textId="77777777" w:rsidR="000628F3" w:rsidRPr="00DF613C" w:rsidRDefault="000628F3" w:rsidP="00360444">
      <w:pPr>
        <w:jc w:val="both"/>
        <w:rPr>
          <w:rFonts w:ascii="Times New Roman" w:eastAsia="Times New Roman" w:hAnsi="Times New Roman"/>
          <w:b/>
          <w:bCs/>
          <w:color w:val="000000"/>
          <w:sz w:val="22"/>
          <w:szCs w:val="22"/>
        </w:rPr>
      </w:pPr>
    </w:p>
    <w:p w14:paraId="38AE6EA0" w14:textId="77777777" w:rsidR="00262010" w:rsidRDefault="00262010" w:rsidP="00360444">
      <w:pPr>
        <w:jc w:val="both"/>
        <w:rPr>
          <w:rFonts w:ascii="Times New Roman" w:eastAsia="Times New Roman" w:hAnsi="Times New Roman"/>
          <w:b/>
          <w:bCs/>
          <w:color w:val="000000"/>
          <w:sz w:val="22"/>
          <w:szCs w:val="22"/>
        </w:rPr>
      </w:pPr>
    </w:p>
    <w:p w14:paraId="5BA6EF3E" w14:textId="0E2678FD" w:rsidR="001356CF" w:rsidRPr="00DF613C" w:rsidRDefault="001356CF" w:rsidP="00360444">
      <w:pPr>
        <w:jc w:val="both"/>
        <w:rPr>
          <w:rFonts w:ascii="Times New Roman" w:eastAsia="Times New Roman" w:hAnsi="Times New Roman"/>
          <w:b/>
          <w:bCs/>
          <w:color w:val="000000"/>
          <w:sz w:val="22"/>
          <w:szCs w:val="22"/>
        </w:rPr>
      </w:pPr>
      <w:r w:rsidRPr="00DF613C">
        <w:rPr>
          <w:rFonts w:ascii="Times New Roman" w:eastAsia="Times New Roman" w:hAnsi="Times New Roman"/>
          <w:b/>
          <w:bCs/>
          <w:color w:val="000000"/>
          <w:sz w:val="22"/>
          <w:szCs w:val="22"/>
        </w:rPr>
        <w:t>Table 4:</w:t>
      </w:r>
      <w:r w:rsidRPr="00DF613C">
        <w:rPr>
          <w:rFonts w:ascii="Times New Roman" w:eastAsia="Times New Roman" w:hAnsi="Times New Roman"/>
          <w:color w:val="000000"/>
          <w:sz w:val="22"/>
          <w:szCs w:val="22"/>
        </w:rPr>
        <w:t xml:space="preserve"> Partial budget analysis of male </w:t>
      </w:r>
      <w:r w:rsidRPr="00DF613C">
        <w:rPr>
          <w:rFonts w:ascii="Times New Roman" w:eastAsia="Times New Roman" w:hAnsi="Times New Roman"/>
          <w:i/>
          <w:iCs/>
          <w:color w:val="000000"/>
          <w:sz w:val="22"/>
          <w:szCs w:val="22"/>
        </w:rPr>
        <w:t xml:space="preserve">O. niloticus </w:t>
      </w:r>
      <w:r w:rsidRPr="00DF613C">
        <w:rPr>
          <w:rFonts w:ascii="Times New Roman" w:eastAsia="Times New Roman" w:hAnsi="Times New Roman"/>
          <w:color w:val="000000"/>
          <w:sz w:val="22"/>
          <w:szCs w:val="22"/>
        </w:rPr>
        <w:t>fingerlings at different stocking densities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49"/>
        <w:gridCol w:w="1826"/>
        <w:gridCol w:w="1733"/>
        <w:gridCol w:w="1800"/>
      </w:tblGrid>
      <w:tr w:rsidR="001356CF" w:rsidRPr="00DF613C" w14:paraId="7B38AC9F" w14:textId="77777777" w:rsidTr="00BC5C5E">
        <w:trPr>
          <w:trHeight w:val="240"/>
        </w:trPr>
        <w:tc>
          <w:tcPr>
            <w:tcW w:w="4649" w:type="dxa"/>
            <w:tcMar>
              <w:top w:w="0" w:type="dxa"/>
              <w:left w:w="108" w:type="dxa"/>
              <w:bottom w:w="0" w:type="dxa"/>
              <w:right w:w="108" w:type="dxa"/>
            </w:tcMar>
            <w:hideMark/>
          </w:tcPr>
          <w:p w14:paraId="2E34F75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lastRenderedPageBreak/>
              <w:t>Parameter</w:t>
            </w:r>
          </w:p>
        </w:tc>
        <w:tc>
          <w:tcPr>
            <w:tcW w:w="1826" w:type="dxa"/>
            <w:tcMar>
              <w:top w:w="0" w:type="dxa"/>
              <w:left w:w="108" w:type="dxa"/>
              <w:bottom w:w="0" w:type="dxa"/>
              <w:right w:w="108" w:type="dxa"/>
            </w:tcMar>
            <w:hideMark/>
          </w:tcPr>
          <w:p w14:paraId="41027C7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3fingerlings m</w:t>
            </w:r>
            <w:r w:rsidRPr="00DF613C">
              <w:rPr>
                <w:rFonts w:ascii="Times New Roman" w:eastAsia="Times New Roman" w:hAnsi="Times New Roman"/>
                <w:color w:val="000000"/>
                <w:sz w:val="22"/>
                <w:szCs w:val="22"/>
                <w:vertAlign w:val="superscript"/>
              </w:rPr>
              <w:t>-2</w:t>
            </w:r>
          </w:p>
        </w:tc>
        <w:tc>
          <w:tcPr>
            <w:tcW w:w="1733" w:type="dxa"/>
            <w:tcMar>
              <w:top w:w="0" w:type="dxa"/>
              <w:left w:w="108" w:type="dxa"/>
              <w:bottom w:w="0" w:type="dxa"/>
              <w:right w:w="108" w:type="dxa"/>
            </w:tcMar>
            <w:hideMark/>
          </w:tcPr>
          <w:p w14:paraId="176D6DE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5fingerlings m</w:t>
            </w:r>
            <w:r w:rsidRPr="00DF613C">
              <w:rPr>
                <w:rFonts w:ascii="Times New Roman" w:eastAsia="Times New Roman" w:hAnsi="Times New Roman"/>
                <w:color w:val="000000"/>
                <w:sz w:val="22"/>
                <w:szCs w:val="22"/>
                <w:vertAlign w:val="superscript"/>
              </w:rPr>
              <w:t>-2</w:t>
            </w:r>
          </w:p>
        </w:tc>
        <w:tc>
          <w:tcPr>
            <w:tcW w:w="1800" w:type="dxa"/>
            <w:tcMar>
              <w:top w:w="0" w:type="dxa"/>
              <w:left w:w="108" w:type="dxa"/>
              <w:bottom w:w="0" w:type="dxa"/>
              <w:right w:w="108" w:type="dxa"/>
            </w:tcMar>
            <w:hideMark/>
          </w:tcPr>
          <w:p w14:paraId="5C1DB86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7fingerlings m</w:t>
            </w:r>
            <w:r w:rsidRPr="00DF613C">
              <w:rPr>
                <w:rFonts w:ascii="Times New Roman" w:eastAsia="Times New Roman" w:hAnsi="Times New Roman"/>
                <w:color w:val="000000"/>
                <w:sz w:val="22"/>
                <w:szCs w:val="22"/>
                <w:vertAlign w:val="superscript"/>
              </w:rPr>
              <w:t>-2</w:t>
            </w:r>
          </w:p>
        </w:tc>
      </w:tr>
      <w:tr w:rsidR="001356CF" w:rsidRPr="00DF613C" w14:paraId="0C995517" w14:textId="77777777" w:rsidTr="00BC5C5E">
        <w:trPr>
          <w:trHeight w:val="60"/>
        </w:trPr>
        <w:tc>
          <w:tcPr>
            <w:tcW w:w="4649" w:type="dxa"/>
            <w:tcMar>
              <w:top w:w="0" w:type="dxa"/>
              <w:left w:w="108" w:type="dxa"/>
              <w:bottom w:w="0" w:type="dxa"/>
              <w:right w:w="108" w:type="dxa"/>
            </w:tcMar>
            <w:hideMark/>
          </w:tcPr>
          <w:p w14:paraId="4843421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Production period (day)</w:t>
            </w:r>
          </w:p>
        </w:tc>
        <w:tc>
          <w:tcPr>
            <w:tcW w:w="1826" w:type="dxa"/>
            <w:tcMar>
              <w:top w:w="0" w:type="dxa"/>
              <w:left w:w="108" w:type="dxa"/>
              <w:bottom w:w="0" w:type="dxa"/>
              <w:right w:w="108" w:type="dxa"/>
            </w:tcMar>
            <w:hideMark/>
          </w:tcPr>
          <w:p w14:paraId="574BC05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174</w:t>
            </w:r>
          </w:p>
        </w:tc>
        <w:tc>
          <w:tcPr>
            <w:tcW w:w="1733" w:type="dxa"/>
            <w:tcMar>
              <w:top w:w="0" w:type="dxa"/>
              <w:left w:w="108" w:type="dxa"/>
              <w:bottom w:w="0" w:type="dxa"/>
              <w:right w:w="108" w:type="dxa"/>
            </w:tcMar>
            <w:hideMark/>
          </w:tcPr>
          <w:p w14:paraId="101E2B0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174</w:t>
            </w:r>
          </w:p>
        </w:tc>
        <w:tc>
          <w:tcPr>
            <w:tcW w:w="1800" w:type="dxa"/>
            <w:tcMar>
              <w:top w:w="0" w:type="dxa"/>
              <w:left w:w="108" w:type="dxa"/>
              <w:bottom w:w="0" w:type="dxa"/>
              <w:right w:w="108" w:type="dxa"/>
            </w:tcMar>
            <w:hideMark/>
          </w:tcPr>
          <w:p w14:paraId="7065CDE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174</w:t>
            </w:r>
          </w:p>
        </w:tc>
      </w:tr>
      <w:tr w:rsidR="001356CF" w:rsidRPr="00DF613C" w14:paraId="6C7D4454" w14:textId="77777777" w:rsidTr="00BC5C5E">
        <w:trPr>
          <w:trHeight w:val="60"/>
        </w:trPr>
        <w:tc>
          <w:tcPr>
            <w:tcW w:w="4649" w:type="dxa"/>
            <w:tcMar>
              <w:top w:w="0" w:type="dxa"/>
              <w:left w:w="108" w:type="dxa"/>
              <w:bottom w:w="0" w:type="dxa"/>
              <w:right w:w="108" w:type="dxa"/>
            </w:tcMar>
            <w:hideMark/>
          </w:tcPr>
          <w:p w14:paraId="716206F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Stocking density fingerlings/10m</w:t>
            </w:r>
            <w:r w:rsidRPr="00DF613C">
              <w:rPr>
                <w:rFonts w:ascii="Times New Roman" w:eastAsia="Times New Roman" w:hAnsi="Times New Roman"/>
                <w:color w:val="000000"/>
                <w:sz w:val="22"/>
                <w:szCs w:val="22"/>
                <w:vertAlign w:val="superscript"/>
              </w:rPr>
              <w:t>2 </w:t>
            </w:r>
          </w:p>
        </w:tc>
        <w:tc>
          <w:tcPr>
            <w:tcW w:w="1826" w:type="dxa"/>
            <w:tcMar>
              <w:top w:w="0" w:type="dxa"/>
              <w:left w:w="108" w:type="dxa"/>
              <w:bottom w:w="0" w:type="dxa"/>
              <w:right w:w="108" w:type="dxa"/>
            </w:tcMar>
            <w:hideMark/>
          </w:tcPr>
          <w:p w14:paraId="58B2AAC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30</w:t>
            </w:r>
          </w:p>
        </w:tc>
        <w:tc>
          <w:tcPr>
            <w:tcW w:w="1733" w:type="dxa"/>
            <w:tcMar>
              <w:top w:w="0" w:type="dxa"/>
              <w:left w:w="108" w:type="dxa"/>
              <w:bottom w:w="0" w:type="dxa"/>
              <w:right w:w="108" w:type="dxa"/>
            </w:tcMar>
            <w:hideMark/>
          </w:tcPr>
          <w:p w14:paraId="594EFEE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50</w:t>
            </w:r>
          </w:p>
        </w:tc>
        <w:tc>
          <w:tcPr>
            <w:tcW w:w="1800" w:type="dxa"/>
            <w:tcMar>
              <w:top w:w="0" w:type="dxa"/>
              <w:left w:w="108" w:type="dxa"/>
              <w:bottom w:w="0" w:type="dxa"/>
              <w:right w:w="108" w:type="dxa"/>
            </w:tcMar>
            <w:hideMark/>
          </w:tcPr>
          <w:p w14:paraId="4695662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70</w:t>
            </w:r>
          </w:p>
        </w:tc>
      </w:tr>
      <w:tr w:rsidR="001356CF" w:rsidRPr="00DF613C" w14:paraId="5EA8BBA1" w14:textId="77777777" w:rsidTr="00BC5C5E">
        <w:trPr>
          <w:trHeight w:val="60"/>
        </w:trPr>
        <w:tc>
          <w:tcPr>
            <w:tcW w:w="4649" w:type="dxa"/>
            <w:tcMar>
              <w:top w:w="0" w:type="dxa"/>
              <w:left w:w="108" w:type="dxa"/>
              <w:bottom w:w="0" w:type="dxa"/>
              <w:right w:w="108" w:type="dxa"/>
            </w:tcMar>
            <w:hideMark/>
          </w:tcPr>
          <w:p w14:paraId="1CB33A0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Cost of fingerlings (Eth. Birr)</w:t>
            </w:r>
          </w:p>
        </w:tc>
        <w:tc>
          <w:tcPr>
            <w:tcW w:w="1826" w:type="dxa"/>
            <w:tcMar>
              <w:top w:w="0" w:type="dxa"/>
              <w:left w:w="108" w:type="dxa"/>
              <w:bottom w:w="0" w:type="dxa"/>
              <w:right w:w="108" w:type="dxa"/>
            </w:tcMar>
            <w:hideMark/>
          </w:tcPr>
          <w:p w14:paraId="22C5435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30</w:t>
            </w:r>
          </w:p>
        </w:tc>
        <w:tc>
          <w:tcPr>
            <w:tcW w:w="1733" w:type="dxa"/>
            <w:tcMar>
              <w:top w:w="0" w:type="dxa"/>
              <w:left w:w="108" w:type="dxa"/>
              <w:bottom w:w="0" w:type="dxa"/>
              <w:right w:w="108" w:type="dxa"/>
            </w:tcMar>
            <w:hideMark/>
          </w:tcPr>
          <w:p w14:paraId="04B5D1B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50</w:t>
            </w:r>
          </w:p>
        </w:tc>
        <w:tc>
          <w:tcPr>
            <w:tcW w:w="1800" w:type="dxa"/>
            <w:tcMar>
              <w:top w:w="0" w:type="dxa"/>
              <w:left w:w="108" w:type="dxa"/>
              <w:bottom w:w="0" w:type="dxa"/>
              <w:right w:w="108" w:type="dxa"/>
            </w:tcMar>
            <w:hideMark/>
          </w:tcPr>
          <w:p w14:paraId="4E3B93F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70</w:t>
            </w:r>
          </w:p>
        </w:tc>
      </w:tr>
      <w:tr w:rsidR="001356CF" w:rsidRPr="00DF613C" w14:paraId="2177F281" w14:textId="77777777" w:rsidTr="00BC5C5E">
        <w:trPr>
          <w:trHeight w:val="60"/>
        </w:trPr>
        <w:tc>
          <w:tcPr>
            <w:tcW w:w="4649" w:type="dxa"/>
            <w:tcMar>
              <w:top w:w="0" w:type="dxa"/>
              <w:left w:w="108" w:type="dxa"/>
              <w:bottom w:w="0" w:type="dxa"/>
              <w:right w:w="108" w:type="dxa"/>
            </w:tcMar>
            <w:hideMark/>
          </w:tcPr>
          <w:p w14:paraId="0A32F93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Cost of feed used (Eth. Birr)</w:t>
            </w:r>
          </w:p>
        </w:tc>
        <w:tc>
          <w:tcPr>
            <w:tcW w:w="1826" w:type="dxa"/>
            <w:tcMar>
              <w:top w:w="0" w:type="dxa"/>
              <w:left w:w="108" w:type="dxa"/>
              <w:bottom w:w="0" w:type="dxa"/>
              <w:right w:w="108" w:type="dxa"/>
            </w:tcMar>
            <w:hideMark/>
          </w:tcPr>
          <w:p w14:paraId="608F71C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391.8</w:t>
            </w:r>
          </w:p>
        </w:tc>
        <w:tc>
          <w:tcPr>
            <w:tcW w:w="1733" w:type="dxa"/>
            <w:tcMar>
              <w:top w:w="0" w:type="dxa"/>
              <w:left w:w="108" w:type="dxa"/>
              <w:bottom w:w="0" w:type="dxa"/>
              <w:right w:w="108" w:type="dxa"/>
            </w:tcMar>
            <w:hideMark/>
          </w:tcPr>
          <w:p w14:paraId="7A0C74A5"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589.5</w:t>
            </w:r>
          </w:p>
        </w:tc>
        <w:tc>
          <w:tcPr>
            <w:tcW w:w="1800" w:type="dxa"/>
            <w:tcMar>
              <w:top w:w="0" w:type="dxa"/>
              <w:left w:w="108" w:type="dxa"/>
              <w:bottom w:w="0" w:type="dxa"/>
              <w:right w:w="108" w:type="dxa"/>
            </w:tcMar>
            <w:hideMark/>
          </w:tcPr>
          <w:p w14:paraId="4AE3D53A"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768.2</w:t>
            </w:r>
          </w:p>
        </w:tc>
      </w:tr>
      <w:tr w:rsidR="001356CF" w:rsidRPr="00DF613C" w14:paraId="4F25777A" w14:textId="77777777" w:rsidTr="00BC5C5E">
        <w:trPr>
          <w:trHeight w:val="60"/>
        </w:trPr>
        <w:tc>
          <w:tcPr>
            <w:tcW w:w="4649" w:type="dxa"/>
            <w:tcMar>
              <w:top w:w="0" w:type="dxa"/>
              <w:left w:w="108" w:type="dxa"/>
              <w:bottom w:w="0" w:type="dxa"/>
              <w:right w:w="108" w:type="dxa"/>
            </w:tcMar>
            <w:hideMark/>
          </w:tcPr>
          <w:p w14:paraId="119F0FF0"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The total cost of production (Eth. Birr)</w:t>
            </w:r>
          </w:p>
        </w:tc>
        <w:tc>
          <w:tcPr>
            <w:tcW w:w="1826" w:type="dxa"/>
            <w:tcMar>
              <w:top w:w="0" w:type="dxa"/>
              <w:left w:w="108" w:type="dxa"/>
              <w:bottom w:w="0" w:type="dxa"/>
              <w:right w:w="108" w:type="dxa"/>
            </w:tcMar>
            <w:hideMark/>
          </w:tcPr>
          <w:p w14:paraId="1E333232"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421.8</w:t>
            </w:r>
          </w:p>
        </w:tc>
        <w:tc>
          <w:tcPr>
            <w:tcW w:w="1733" w:type="dxa"/>
            <w:tcMar>
              <w:top w:w="0" w:type="dxa"/>
              <w:left w:w="108" w:type="dxa"/>
              <w:bottom w:w="0" w:type="dxa"/>
              <w:right w:w="108" w:type="dxa"/>
            </w:tcMar>
            <w:hideMark/>
          </w:tcPr>
          <w:p w14:paraId="2D1970F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639.5</w:t>
            </w:r>
          </w:p>
        </w:tc>
        <w:tc>
          <w:tcPr>
            <w:tcW w:w="1800" w:type="dxa"/>
            <w:tcMar>
              <w:top w:w="0" w:type="dxa"/>
              <w:left w:w="108" w:type="dxa"/>
              <w:bottom w:w="0" w:type="dxa"/>
              <w:right w:w="108" w:type="dxa"/>
            </w:tcMar>
            <w:hideMark/>
          </w:tcPr>
          <w:p w14:paraId="4410AF6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838.2</w:t>
            </w:r>
          </w:p>
        </w:tc>
      </w:tr>
      <w:tr w:rsidR="001356CF" w:rsidRPr="00DF613C" w14:paraId="06BFD0F2" w14:textId="77777777" w:rsidTr="00BC5C5E">
        <w:trPr>
          <w:trHeight w:val="60"/>
        </w:trPr>
        <w:tc>
          <w:tcPr>
            <w:tcW w:w="4649" w:type="dxa"/>
            <w:tcMar>
              <w:top w:w="0" w:type="dxa"/>
              <w:left w:w="108" w:type="dxa"/>
              <w:bottom w:w="0" w:type="dxa"/>
              <w:right w:w="108" w:type="dxa"/>
            </w:tcMar>
            <w:hideMark/>
          </w:tcPr>
          <w:p w14:paraId="6B656F9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Total production (kg)</w:t>
            </w:r>
          </w:p>
        </w:tc>
        <w:tc>
          <w:tcPr>
            <w:tcW w:w="1826" w:type="dxa"/>
            <w:tcMar>
              <w:top w:w="0" w:type="dxa"/>
              <w:left w:w="108" w:type="dxa"/>
              <w:bottom w:w="0" w:type="dxa"/>
              <w:right w:w="108" w:type="dxa"/>
            </w:tcMar>
            <w:hideMark/>
          </w:tcPr>
          <w:p w14:paraId="2D76DFC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5.11</w:t>
            </w:r>
          </w:p>
        </w:tc>
        <w:tc>
          <w:tcPr>
            <w:tcW w:w="1733" w:type="dxa"/>
            <w:tcMar>
              <w:top w:w="0" w:type="dxa"/>
              <w:left w:w="108" w:type="dxa"/>
              <w:bottom w:w="0" w:type="dxa"/>
              <w:right w:w="108" w:type="dxa"/>
            </w:tcMar>
            <w:hideMark/>
          </w:tcPr>
          <w:p w14:paraId="4472B82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7.57</w:t>
            </w:r>
          </w:p>
        </w:tc>
        <w:tc>
          <w:tcPr>
            <w:tcW w:w="1800" w:type="dxa"/>
            <w:tcMar>
              <w:top w:w="0" w:type="dxa"/>
              <w:left w:w="108" w:type="dxa"/>
              <w:bottom w:w="0" w:type="dxa"/>
              <w:right w:w="108" w:type="dxa"/>
            </w:tcMar>
            <w:hideMark/>
          </w:tcPr>
          <w:p w14:paraId="0010274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9.78</w:t>
            </w:r>
          </w:p>
        </w:tc>
      </w:tr>
      <w:tr w:rsidR="001356CF" w:rsidRPr="00DF613C" w14:paraId="3CBA07A2" w14:textId="77777777" w:rsidTr="00BC5C5E">
        <w:trPr>
          <w:trHeight w:val="60"/>
        </w:trPr>
        <w:tc>
          <w:tcPr>
            <w:tcW w:w="4649" w:type="dxa"/>
            <w:tcMar>
              <w:top w:w="0" w:type="dxa"/>
              <w:left w:w="108" w:type="dxa"/>
              <w:bottom w:w="0" w:type="dxa"/>
              <w:right w:w="108" w:type="dxa"/>
            </w:tcMar>
            <w:hideMark/>
          </w:tcPr>
          <w:p w14:paraId="07BF9AF4"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The selling price of fish/kg (Eth. Birr)</w:t>
            </w:r>
          </w:p>
        </w:tc>
        <w:tc>
          <w:tcPr>
            <w:tcW w:w="1826" w:type="dxa"/>
            <w:tcMar>
              <w:top w:w="0" w:type="dxa"/>
              <w:left w:w="108" w:type="dxa"/>
              <w:bottom w:w="0" w:type="dxa"/>
              <w:right w:w="108" w:type="dxa"/>
            </w:tcMar>
            <w:hideMark/>
          </w:tcPr>
          <w:p w14:paraId="5CA824E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125</w:t>
            </w:r>
          </w:p>
        </w:tc>
        <w:tc>
          <w:tcPr>
            <w:tcW w:w="1733" w:type="dxa"/>
            <w:tcMar>
              <w:top w:w="0" w:type="dxa"/>
              <w:left w:w="108" w:type="dxa"/>
              <w:bottom w:w="0" w:type="dxa"/>
              <w:right w:w="108" w:type="dxa"/>
            </w:tcMar>
            <w:hideMark/>
          </w:tcPr>
          <w:p w14:paraId="399C844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125</w:t>
            </w:r>
          </w:p>
        </w:tc>
        <w:tc>
          <w:tcPr>
            <w:tcW w:w="1800" w:type="dxa"/>
            <w:tcMar>
              <w:top w:w="0" w:type="dxa"/>
              <w:left w:w="108" w:type="dxa"/>
              <w:bottom w:w="0" w:type="dxa"/>
              <w:right w:w="108" w:type="dxa"/>
            </w:tcMar>
            <w:hideMark/>
          </w:tcPr>
          <w:p w14:paraId="448BA80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125</w:t>
            </w:r>
          </w:p>
        </w:tc>
      </w:tr>
      <w:tr w:rsidR="001356CF" w:rsidRPr="00DF613C" w14:paraId="57C7B133" w14:textId="77777777" w:rsidTr="00BC5C5E">
        <w:trPr>
          <w:trHeight w:val="62"/>
        </w:trPr>
        <w:tc>
          <w:tcPr>
            <w:tcW w:w="4649" w:type="dxa"/>
            <w:tcMar>
              <w:top w:w="0" w:type="dxa"/>
              <w:left w:w="108" w:type="dxa"/>
              <w:bottom w:w="0" w:type="dxa"/>
              <w:right w:w="108" w:type="dxa"/>
            </w:tcMar>
            <w:hideMark/>
          </w:tcPr>
          <w:p w14:paraId="47C3ABB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Gross income from the fish sale (Eth. Birr)</w:t>
            </w:r>
          </w:p>
        </w:tc>
        <w:tc>
          <w:tcPr>
            <w:tcW w:w="1826" w:type="dxa"/>
            <w:tcMar>
              <w:top w:w="0" w:type="dxa"/>
              <w:left w:w="108" w:type="dxa"/>
              <w:bottom w:w="0" w:type="dxa"/>
              <w:right w:w="108" w:type="dxa"/>
            </w:tcMar>
            <w:hideMark/>
          </w:tcPr>
          <w:p w14:paraId="389E76F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638.75</w:t>
            </w:r>
          </w:p>
        </w:tc>
        <w:tc>
          <w:tcPr>
            <w:tcW w:w="1733" w:type="dxa"/>
            <w:tcMar>
              <w:top w:w="0" w:type="dxa"/>
              <w:left w:w="108" w:type="dxa"/>
              <w:bottom w:w="0" w:type="dxa"/>
              <w:right w:w="108" w:type="dxa"/>
            </w:tcMar>
            <w:hideMark/>
          </w:tcPr>
          <w:p w14:paraId="324707D9"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946.25</w:t>
            </w:r>
          </w:p>
        </w:tc>
        <w:tc>
          <w:tcPr>
            <w:tcW w:w="1800" w:type="dxa"/>
            <w:tcMar>
              <w:top w:w="0" w:type="dxa"/>
              <w:left w:w="108" w:type="dxa"/>
              <w:bottom w:w="0" w:type="dxa"/>
              <w:right w:w="108" w:type="dxa"/>
            </w:tcMar>
            <w:hideMark/>
          </w:tcPr>
          <w:p w14:paraId="6A04DE0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1222.5</w:t>
            </w:r>
          </w:p>
        </w:tc>
      </w:tr>
      <w:tr w:rsidR="001356CF" w:rsidRPr="00DF613C" w14:paraId="74F54219" w14:textId="77777777" w:rsidTr="00BC5C5E">
        <w:trPr>
          <w:trHeight w:val="60"/>
        </w:trPr>
        <w:tc>
          <w:tcPr>
            <w:tcW w:w="4649" w:type="dxa"/>
            <w:tcMar>
              <w:top w:w="0" w:type="dxa"/>
              <w:left w:w="108" w:type="dxa"/>
              <w:bottom w:w="0" w:type="dxa"/>
              <w:right w:w="108" w:type="dxa"/>
            </w:tcMar>
            <w:hideMark/>
          </w:tcPr>
          <w:p w14:paraId="22E5E3DF"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Net profit (gross income-total cost) (Eth. Birr)</w:t>
            </w:r>
          </w:p>
        </w:tc>
        <w:tc>
          <w:tcPr>
            <w:tcW w:w="1826" w:type="dxa"/>
            <w:tcMar>
              <w:top w:w="0" w:type="dxa"/>
              <w:left w:w="108" w:type="dxa"/>
              <w:bottom w:w="0" w:type="dxa"/>
              <w:right w:w="108" w:type="dxa"/>
            </w:tcMar>
            <w:hideMark/>
          </w:tcPr>
          <w:p w14:paraId="68639C87"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216.95</w:t>
            </w:r>
          </w:p>
        </w:tc>
        <w:tc>
          <w:tcPr>
            <w:tcW w:w="1733" w:type="dxa"/>
            <w:tcMar>
              <w:top w:w="0" w:type="dxa"/>
              <w:left w:w="108" w:type="dxa"/>
              <w:bottom w:w="0" w:type="dxa"/>
              <w:right w:w="108" w:type="dxa"/>
            </w:tcMar>
            <w:hideMark/>
          </w:tcPr>
          <w:p w14:paraId="5078E1E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306.75</w:t>
            </w:r>
          </w:p>
        </w:tc>
        <w:tc>
          <w:tcPr>
            <w:tcW w:w="1800" w:type="dxa"/>
            <w:tcMar>
              <w:top w:w="0" w:type="dxa"/>
              <w:left w:w="108" w:type="dxa"/>
              <w:bottom w:w="0" w:type="dxa"/>
              <w:right w:w="108" w:type="dxa"/>
            </w:tcMar>
            <w:hideMark/>
          </w:tcPr>
          <w:p w14:paraId="488016B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384.3</w:t>
            </w:r>
          </w:p>
        </w:tc>
      </w:tr>
      <w:tr w:rsidR="001356CF" w:rsidRPr="00DF613C" w14:paraId="19F15B21" w14:textId="77777777" w:rsidTr="00BC5C5E">
        <w:trPr>
          <w:trHeight w:val="60"/>
        </w:trPr>
        <w:tc>
          <w:tcPr>
            <w:tcW w:w="4649" w:type="dxa"/>
            <w:tcMar>
              <w:top w:w="0" w:type="dxa"/>
              <w:left w:w="108" w:type="dxa"/>
              <w:bottom w:w="0" w:type="dxa"/>
              <w:right w:w="108" w:type="dxa"/>
            </w:tcMar>
            <w:hideMark/>
          </w:tcPr>
          <w:p w14:paraId="7FF5B96E"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Net profit/m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/6 months (Eth. Birr)</w:t>
            </w:r>
          </w:p>
        </w:tc>
        <w:tc>
          <w:tcPr>
            <w:tcW w:w="1826" w:type="dxa"/>
            <w:tcMar>
              <w:top w:w="0" w:type="dxa"/>
              <w:left w:w="108" w:type="dxa"/>
              <w:bottom w:w="0" w:type="dxa"/>
              <w:right w:w="108" w:type="dxa"/>
            </w:tcMar>
            <w:hideMark/>
          </w:tcPr>
          <w:p w14:paraId="10D7B703"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21.69</w:t>
            </w:r>
          </w:p>
        </w:tc>
        <w:tc>
          <w:tcPr>
            <w:tcW w:w="1733" w:type="dxa"/>
            <w:tcMar>
              <w:top w:w="0" w:type="dxa"/>
              <w:left w:w="108" w:type="dxa"/>
              <w:bottom w:w="0" w:type="dxa"/>
              <w:right w:w="108" w:type="dxa"/>
            </w:tcMar>
            <w:hideMark/>
          </w:tcPr>
          <w:p w14:paraId="3E949FEB"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30.63</w:t>
            </w:r>
          </w:p>
        </w:tc>
        <w:tc>
          <w:tcPr>
            <w:tcW w:w="1800" w:type="dxa"/>
            <w:tcMar>
              <w:top w:w="0" w:type="dxa"/>
              <w:left w:w="108" w:type="dxa"/>
              <w:bottom w:w="0" w:type="dxa"/>
              <w:right w:w="108" w:type="dxa"/>
            </w:tcMar>
            <w:hideMark/>
          </w:tcPr>
          <w:p w14:paraId="66C7CC3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38.43</w:t>
            </w:r>
          </w:p>
        </w:tc>
      </w:tr>
      <w:tr w:rsidR="001356CF" w:rsidRPr="00DF613C" w14:paraId="682450FD" w14:textId="77777777" w:rsidTr="00BC5C5E">
        <w:trPr>
          <w:trHeight w:val="60"/>
        </w:trPr>
        <w:tc>
          <w:tcPr>
            <w:tcW w:w="4649" w:type="dxa"/>
            <w:tcMar>
              <w:top w:w="0" w:type="dxa"/>
              <w:left w:w="108" w:type="dxa"/>
              <w:bottom w:w="0" w:type="dxa"/>
              <w:right w:w="108" w:type="dxa"/>
            </w:tcMar>
            <w:hideMark/>
          </w:tcPr>
          <w:p w14:paraId="5B41C6F8"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Net profit contribution (%)</w:t>
            </w:r>
          </w:p>
        </w:tc>
        <w:tc>
          <w:tcPr>
            <w:tcW w:w="1826" w:type="dxa"/>
            <w:tcMar>
              <w:top w:w="0" w:type="dxa"/>
              <w:left w:w="108" w:type="dxa"/>
              <w:bottom w:w="0" w:type="dxa"/>
              <w:right w:w="108" w:type="dxa"/>
            </w:tcMar>
            <w:hideMark/>
          </w:tcPr>
          <w:p w14:paraId="057B0AF6"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23.9</w:t>
            </w:r>
          </w:p>
        </w:tc>
        <w:tc>
          <w:tcPr>
            <w:tcW w:w="1733" w:type="dxa"/>
            <w:tcMar>
              <w:top w:w="0" w:type="dxa"/>
              <w:left w:w="108" w:type="dxa"/>
              <w:bottom w:w="0" w:type="dxa"/>
              <w:right w:w="108" w:type="dxa"/>
            </w:tcMar>
            <w:hideMark/>
          </w:tcPr>
          <w:p w14:paraId="5C60444D"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33.75</w:t>
            </w:r>
          </w:p>
        </w:tc>
        <w:tc>
          <w:tcPr>
            <w:tcW w:w="1800" w:type="dxa"/>
            <w:tcMar>
              <w:top w:w="0" w:type="dxa"/>
              <w:left w:w="108" w:type="dxa"/>
              <w:bottom w:w="0" w:type="dxa"/>
              <w:right w:w="108" w:type="dxa"/>
            </w:tcMar>
            <w:hideMark/>
          </w:tcPr>
          <w:p w14:paraId="74291C01" w14:textId="77777777"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42.35</w:t>
            </w:r>
          </w:p>
        </w:tc>
      </w:tr>
    </w:tbl>
    <w:p w14:paraId="2D52AF3A" w14:textId="77777777" w:rsidR="000628F3" w:rsidRPr="00DF613C" w:rsidRDefault="000628F3" w:rsidP="00360444">
      <w:pPr>
        <w:widowControl w:val="0"/>
        <w:autoSpaceDE w:val="0"/>
        <w:autoSpaceDN w:val="0"/>
        <w:jc w:val="both"/>
        <w:rPr>
          <w:rFonts w:ascii="Times New Roman" w:eastAsia="Times New Roman" w:hAnsi="Times New Roman"/>
          <w:sz w:val="22"/>
          <w:szCs w:val="22"/>
        </w:rPr>
        <w:sectPr w:rsidR="000628F3" w:rsidRPr="00DF613C" w:rsidSect="00360444">
          <w:type w:val="continuous"/>
          <w:pgSz w:w="11907" w:h="16839" w:code="9"/>
          <w:pgMar w:top="1440" w:right="1440" w:bottom="1440" w:left="1440" w:header="720" w:footer="720" w:gutter="0"/>
          <w:cols w:space="720"/>
          <w:docGrid w:linePitch="360"/>
        </w:sectPr>
      </w:pPr>
    </w:p>
    <w:p w14:paraId="5443F910" w14:textId="08E3FC4C" w:rsidR="001356CF" w:rsidRPr="00DF613C" w:rsidRDefault="001356CF" w:rsidP="00360444">
      <w:pPr>
        <w:widowControl w:val="0"/>
        <w:autoSpaceDE w:val="0"/>
        <w:autoSpaceDN w:val="0"/>
        <w:jc w:val="both"/>
        <w:rPr>
          <w:rFonts w:ascii="Times New Roman" w:eastAsia="Times New Roman" w:hAnsi="Times New Roman"/>
          <w:sz w:val="22"/>
          <w:szCs w:val="22"/>
        </w:rPr>
      </w:pPr>
    </w:p>
    <w:p w14:paraId="0993F52E" w14:textId="77777777" w:rsidR="001C4EA1" w:rsidRPr="00DF613C" w:rsidRDefault="001C4EA1" w:rsidP="00360444">
      <w:pPr>
        <w:widowControl w:val="0"/>
        <w:autoSpaceDE w:val="0"/>
        <w:autoSpaceDN w:val="0"/>
        <w:spacing w:before="240"/>
        <w:jc w:val="both"/>
        <w:rPr>
          <w:rFonts w:ascii="Times New Roman" w:eastAsia="Times New Roman" w:hAnsi="Times New Roman"/>
          <w:color w:val="000000"/>
          <w:sz w:val="22"/>
          <w:szCs w:val="22"/>
        </w:rPr>
        <w:sectPr w:rsidR="001C4EA1" w:rsidRPr="00DF613C" w:rsidSect="00360444">
          <w:type w:val="continuous"/>
          <w:pgSz w:w="11907" w:h="16839" w:code="9"/>
          <w:pgMar w:top="1440" w:right="1440" w:bottom="1440" w:left="1440" w:header="720" w:footer="720" w:gutter="0"/>
          <w:cols w:num="2" w:space="720"/>
          <w:docGrid w:linePitch="360"/>
        </w:sectPr>
      </w:pPr>
    </w:p>
    <w:p w14:paraId="4EB6BE04" w14:textId="28E8876F" w:rsidR="001356CF" w:rsidRPr="00DF613C" w:rsidRDefault="001356CF" w:rsidP="00360444">
      <w:pPr>
        <w:widowControl w:val="0"/>
        <w:autoSpaceDE w:val="0"/>
        <w:autoSpaceDN w:val="0"/>
        <w:spacing w:before="24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When the stocking densities of the fish increase the net profit also increases indicating a positive relationship between stocking densities and net profit. This might be due to a higher number of individuals contributing to the highest net profit contribution. This result was in agreement with Islam and Begum (2019) reported that the higher density could be more profitable for tilapia than the lower density in terms of cost-effectiveness and meet the demand for large-scale fish production. </w:t>
      </w:r>
    </w:p>
    <w:p w14:paraId="53A48C2C" w14:textId="77777777" w:rsidR="001356CF" w:rsidRPr="00DF613C" w:rsidRDefault="001356CF" w:rsidP="00360444">
      <w:pPr>
        <w:widowControl w:val="0"/>
        <w:autoSpaceDE w:val="0"/>
        <w:autoSpaceDN w:val="0"/>
        <w:spacing w:before="240"/>
        <w:jc w:val="both"/>
        <w:rPr>
          <w:rFonts w:ascii="Times New Roman" w:eastAsia="Times New Roman" w:hAnsi="Times New Roman"/>
          <w:sz w:val="22"/>
          <w:szCs w:val="22"/>
        </w:rPr>
      </w:pPr>
      <w:r w:rsidRPr="00DF613C">
        <w:rPr>
          <w:rFonts w:ascii="Times New Roman" w:eastAsia="Times New Roman" w:hAnsi="Times New Roman"/>
          <w:noProof/>
          <w:color w:val="000000"/>
          <w:sz w:val="22"/>
          <w:szCs w:val="22"/>
          <w:bdr w:val="none" w:sz="0" w:space="0" w:color="auto" w:frame="1"/>
          <w:lang w:val="en-US" w:eastAsia="en-US"/>
        </w:rPr>
        <w:drawing>
          <wp:anchor distT="0" distB="0" distL="114300" distR="114300" simplePos="0" relativeHeight="251666432" behindDoc="0" locked="0" layoutInCell="1" allowOverlap="1" wp14:anchorId="2A203843" wp14:editId="57C9DA06">
            <wp:simplePos x="0" y="0"/>
            <wp:positionH relativeFrom="column">
              <wp:align>left</wp:align>
            </wp:positionH>
            <wp:positionV relativeFrom="paragraph">
              <wp:align>top</wp:align>
            </wp:positionV>
            <wp:extent cx="5956300" cy="2635250"/>
            <wp:effectExtent l="0" t="0" r="6350" b="0"/>
            <wp:wrapSquare wrapText="bothSides"/>
            <wp:docPr id="12" name="Picture 12" descr="https://lh3.googleusercontent.com/xUIxXojpJ4Ac2xO9wJ44l51aYXJ9kEsQxilVHO6Qqe1RMXDuYU9kTj-2TlmGrpHEbjOEpjFc1f2VPn0MJ9JWAUyrmCmedUX5rWgJac7hMm_Me-HFw1f56ZOJdIlZFPXlNDX1sIgus-tfx4mYibP2ow_nkaDicLjzaVulnRT7AEW1E6RRd-SPHJPC2619ExcYuXJjIVX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xUIxXojpJ4Ac2xO9wJ44l51aYXJ9kEsQxilVHO6Qqe1RMXDuYU9kTj-2TlmGrpHEbjOEpjFc1f2VPn0MJ9JWAUyrmCmedUX5rWgJac7hMm_Me-HFw1f56ZOJdIlZFPXlNDX1sIgus-tfx4mYibP2ow_nkaDicLjzaVulnRT7AEW1E6RRd-SPHJPC2619ExcYuXJjIVXZ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476" cy="2638425"/>
                    </a:xfrm>
                    <a:prstGeom prst="rect">
                      <a:avLst/>
                    </a:prstGeom>
                    <a:noFill/>
                    <a:ln>
                      <a:noFill/>
                    </a:ln>
                  </pic:spPr>
                </pic:pic>
              </a:graphicData>
            </a:graphic>
            <wp14:sizeRelH relativeFrom="margin">
              <wp14:pctWidth>0</wp14:pctWidth>
            </wp14:sizeRelH>
          </wp:anchor>
        </w:drawing>
      </w:r>
      <w:r w:rsidRPr="00DF613C">
        <w:rPr>
          <w:rFonts w:ascii="Times New Roman" w:eastAsia="Times New Roman" w:hAnsi="Times New Roman"/>
          <w:sz w:val="22"/>
          <w:szCs w:val="22"/>
        </w:rPr>
        <w:br w:type="textWrapping" w:clear="all"/>
      </w:r>
    </w:p>
    <w:p w14:paraId="5034C150" w14:textId="77777777" w:rsidR="004F0667" w:rsidRPr="00DF613C" w:rsidRDefault="004F0667" w:rsidP="00360444">
      <w:pPr>
        <w:widowControl w:val="0"/>
        <w:autoSpaceDE w:val="0"/>
        <w:autoSpaceDN w:val="0"/>
        <w:jc w:val="both"/>
        <w:rPr>
          <w:rFonts w:ascii="Times New Roman" w:eastAsia="Times New Roman" w:hAnsi="Times New Roman"/>
          <w:color w:val="000000"/>
          <w:sz w:val="22"/>
          <w:szCs w:val="22"/>
        </w:rPr>
        <w:sectPr w:rsidR="004F0667" w:rsidRPr="00DF613C" w:rsidSect="00360444">
          <w:type w:val="continuous"/>
          <w:pgSz w:w="11907" w:h="16839" w:code="9"/>
          <w:pgMar w:top="1440" w:right="1440" w:bottom="1440" w:left="1440" w:header="720" w:footer="720" w:gutter="0"/>
          <w:cols w:space="720"/>
          <w:docGrid w:linePitch="360"/>
        </w:sectPr>
      </w:pPr>
    </w:p>
    <w:p w14:paraId="6AA26353" w14:textId="597A9F0E" w:rsidR="001356CF" w:rsidRPr="00DF613C" w:rsidRDefault="001356CF" w:rsidP="00360444">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Figure 7: Net profit contribution (%) at a different stocking density</w:t>
      </w:r>
    </w:p>
    <w:p w14:paraId="7F1D3597" w14:textId="77777777" w:rsidR="001C4EA1" w:rsidRPr="00DF613C" w:rsidRDefault="001C4EA1" w:rsidP="00360444">
      <w:pPr>
        <w:widowControl w:val="0"/>
        <w:autoSpaceDE w:val="0"/>
        <w:autoSpaceDN w:val="0"/>
        <w:spacing w:before="240"/>
        <w:jc w:val="both"/>
        <w:rPr>
          <w:rFonts w:ascii="Times New Roman" w:eastAsia="Times New Roman" w:hAnsi="Times New Roman"/>
          <w:color w:val="000000"/>
          <w:sz w:val="22"/>
          <w:szCs w:val="22"/>
        </w:rPr>
        <w:sectPr w:rsidR="001C4EA1" w:rsidRPr="00DF613C" w:rsidSect="00360444">
          <w:type w:val="continuous"/>
          <w:pgSz w:w="11907" w:h="16839" w:code="9"/>
          <w:pgMar w:top="1440" w:right="1440" w:bottom="1440" w:left="1440" w:header="720" w:footer="720" w:gutter="0"/>
          <w:cols w:space="720"/>
          <w:docGrid w:linePitch="360"/>
        </w:sectPr>
      </w:pPr>
    </w:p>
    <w:p w14:paraId="1C5FA811" w14:textId="77777777" w:rsidR="00B2093B" w:rsidRDefault="001356CF" w:rsidP="001F7359">
      <w:pPr>
        <w:widowControl w:val="0"/>
        <w:autoSpaceDE w:val="0"/>
        <w:autoSpaceDN w:val="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In the lower stocking density, the 3fish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individual growth rate was higher but after the end of the experiment, the total production and the net profit contribution (23.91%) were </w:t>
      </w:r>
      <w:r w:rsidRPr="00DF613C">
        <w:rPr>
          <w:rFonts w:ascii="Times New Roman" w:eastAsia="Times New Roman" w:hAnsi="Times New Roman"/>
          <w:color w:val="000000"/>
          <w:sz w:val="22"/>
          <w:szCs w:val="22"/>
        </w:rPr>
        <w:t xml:space="preserve">lower </w:t>
      </w:r>
    </w:p>
    <w:p w14:paraId="65B4B945" w14:textId="1CBF55AA" w:rsidR="001C4EA1" w:rsidRPr="00DF613C" w:rsidRDefault="001356CF" w:rsidP="001F7359">
      <w:pPr>
        <w:widowControl w:val="0"/>
        <w:autoSpaceDE w:val="0"/>
        <w:autoSpaceDN w:val="0"/>
        <w:jc w:val="both"/>
        <w:rPr>
          <w:rFonts w:ascii="Times New Roman" w:eastAsia="Times New Roman" w:hAnsi="Times New Roman"/>
          <w:color w:val="000000"/>
          <w:sz w:val="22"/>
          <w:szCs w:val="22"/>
        </w:rPr>
        <w:sectPr w:rsidR="001C4EA1" w:rsidRPr="00DF613C" w:rsidSect="00360444">
          <w:type w:val="continuous"/>
          <w:pgSz w:w="11907" w:h="16839" w:code="9"/>
          <w:pgMar w:top="1440" w:right="1440" w:bottom="1440" w:left="1440" w:header="720" w:footer="720" w:gutter="0"/>
          <w:cols w:num="2" w:space="720"/>
          <w:docGrid w:linePitch="360"/>
        </w:sectPr>
      </w:pPr>
      <w:r w:rsidRPr="00DF613C">
        <w:rPr>
          <w:rFonts w:ascii="Times New Roman" w:eastAsia="Times New Roman" w:hAnsi="Times New Roman"/>
          <w:color w:val="000000"/>
          <w:sz w:val="22"/>
          <w:szCs w:val="22"/>
        </w:rPr>
        <w:t>relatives to other stocking densities this indicated that in the lower stocking de</w:t>
      </w:r>
      <w:r w:rsidR="001C4EA1" w:rsidRPr="00DF613C">
        <w:rPr>
          <w:rFonts w:ascii="Times New Roman" w:eastAsia="Times New Roman" w:hAnsi="Times New Roman"/>
          <w:color w:val="000000"/>
          <w:sz w:val="22"/>
          <w:szCs w:val="22"/>
        </w:rPr>
        <w:t xml:space="preserve">nsity individual growth rate of </w:t>
      </w:r>
    </w:p>
    <w:p w14:paraId="4537F5D3" w14:textId="0C319884" w:rsidR="001C4EA1" w:rsidRPr="00DF613C" w:rsidRDefault="001356CF" w:rsidP="001F7359">
      <w:pPr>
        <w:widowControl w:val="0"/>
        <w:autoSpaceDE w:val="0"/>
        <w:autoSpaceDN w:val="0"/>
        <w:jc w:val="both"/>
        <w:rPr>
          <w:rFonts w:ascii="Times New Roman" w:eastAsia="Times New Roman" w:hAnsi="Times New Roman"/>
          <w:color w:val="000000"/>
          <w:sz w:val="22"/>
          <w:szCs w:val="22"/>
        </w:rPr>
        <w:sectPr w:rsidR="001C4EA1" w:rsidRPr="00DF613C" w:rsidSect="00360444">
          <w:type w:val="continuous"/>
          <w:pgSz w:w="11907" w:h="16839" w:code="9"/>
          <w:pgMar w:top="1440" w:right="1440" w:bottom="1440" w:left="1440" w:header="720" w:footer="720" w:gutter="0"/>
          <w:cols w:num="2" w:space="720"/>
          <w:docGrid w:linePitch="360"/>
        </w:sectPr>
      </w:pPr>
      <w:r w:rsidRPr="00DF613C">
        <w:rPr>
          <w:rFonts w:ascii="Times New Roman" w:eastAsia="Times New Roman" w:hAnsi="Times New Roman"/>
          <w:color w:val="000000"/>
          <w:sz w:val="22"/>
          <w:szCs w:val="22"/>
        </w:rPr>
        <w:t xml:space="preserve">the fish was high, but </w:t>
      </w:r>
    </w:p>
    <w:p w14:paraId="72C96434" w14:textId="25596109" w:rsidR="001356CF" w:rsidRPr="00DF613C" w:rsidRDefault="001356CF" w:rsidP="001F7359">
      <w:pPr>
        <w:widowControl w:val="0"/>
        <w:autoSpaceDE w:val="0"/>
        <w:autoSpaceDN w:val="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the fish product obtained per meter square was very low, due to this difficult to compensate production cost and the profitability of the farm is decreased. On the other hand, the higher stocking density 7fish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obtained maximum pr</w:t>
      </w:r>
      <w:r w:rsidR="0054004A">
        <w:rPr>
          <w:rFonts w:ascii="Times New Roman" w:eastAsia="Times New Roman" w:hAnsi="Times New Roman"/>
          <w:color w:val="000000"/>
          <w:sz w:val="22"/>
          <w:szCs w:val="22"/>
        </w:rPr>
        <w:t xml:space="preserve">oduction and contributed to the </w:t>
      </w:r>
      <w:r w:rsidRPr="00DF613C">
        <w:rPr>
          <w:rFonts w:ascii="Times New Roman" w:eastAsia="Times New Roman" w:hAnsi="Times New Roman"/>
          <w:color w:val="000000"/>
          <w:sz w:val="22"/>
          <w:szCs w:val="22"/>
        </w:rPr>
        <w:t xml:space="preserve">highest net profit (42.31%). Khattab </w:t>
      </w:r>
      <w:r w:rsidRPr="00DF613C">
        <w:rPr>
          <w:rFonts w:ascii="Times New Roman" w:eastAsia="Times New Roman" w:hAnsi="Times New Roman"/>
          <w:i/>
          <w:iCs/>
          <w:color w:val="000000"/>
          <w:sz w:val="22"/>
          <w:szCs w:val="22"/>
        </w:rPr>
        <w:t>et al</w:t>
      </w:r>
      <w:r w:rsidRPr="00DF613C">
        <w:rPr>
          <w:rFonts w:ascii="Times New Roman" w:eastAsia="Times New Roman" w:hAnsi="Times New Roman"/>
          <w:color w:val="000000"/>
          <w:sz w:val="22"/>
          <w:szCs w:val="22"/>
        </w:rPr>
        <w:t xml:space="preserve">., (2001) also proved the present result, increasing the stocking density of fish within a limited area results in full utilization of space </w:t>
      </w:r>
      <w:r w:rsidRPr="00DF613C">
        <w:rPr>
          <w:rFonts w:ascii="Times New Roman" w:eastAsia="Times New Roman" w:hAnsi="Times New Roman"/>
          <w:color w:val="000000"/>
          <w:sz w:val="22"/>
          <w:szCs w:val="22"/>
        </w:rPr>
        <w:t>for maximum fish production and can improve the profitability of the fish farm. This is indicated that stocking density is one of the important variables to determine the profitability of the fish farm.  </w:t>
      </w:r>
    </w:p>
    <w:p w14:paraId="01002F24" w14:textId="77777777" w:rsidR="001C4EA1" w:rsidRDefault="001C4EA1" w:rsidP="00360444">
      <w:pPr>
        <w:widowControl w:val="0"/>
        <w:autoSpaceDE w:val="0"/>
        <w:autoSpaceDN w:val="0"/>
        <w:jc w:val="both"/>
        <w:rPr>
          <w:rFonts w:ascii="Times New Roman" w:eastAsia="Times New Roman" w:hAnsi="Times New Roman"/>
          <w:b/>
          <w:bCs/>
          <w:color w:val="000000"/>
          <w:sz w:val="22"/>
          <w:szCs w:val="22"/>
        </w:rPr>
      </w:pPr>
    </w:p>
    <w:p w14:paraId="50C7272D" w14:textId="77777777" w:rsidR="001F7359" w:rsidRDefault="001F7359" w:rsidP="00360444">
      <w:pPr>
        <w:widowControl w:val="0"/>
        <w:autoSpaceDE w:val="0"/>
        <w:autoSpaceDN w:val="0"/>
        <w:jc w:val="both"/>
        <w:rPr>
          <w:rFonts w:ascii="Times New Roman" w:eastAsia="Times New Roman" w:hAnsi="Times New Roman"/>
          <w:b/>
          <w:bCs/>
          <w:color w:val="000000"/>
          <w:sz w:val="22"/>
          <w:szCs w:val="22"/>
        </w:rPr>
      </w:pPr>
    </w:p>
    <w:p w14:paraId="0336D686" w14:textId="77777777" w:rsidR="001F7359" w:rsidRPr="00DF613C" w:rsidRDefault="001F7359" w:rsidP="00360444">
      <w:pPr>
        <w:widowControl w:val="0"/>
        <w:autoSpaceDE w:val="0"/>
        <w:autoSpaceDN w:val="0"/>
        <w:jc w:val="both"/>
        <w:rPr>
          <w:rFonts w:ascii="Times New Roman" w:eastAsia="Times New Roman" w:hAnsi="Times New Roman"/>
          <w:b/>
          <w:bCs/>
          <w:color w:val="000000"/>
          <w:sz w:val="22"/>
          <w:szCs w:val="22"/>
        </w:rPr>
      </w:pPr>
    </w:p>
    <w:p w14:paraId="3DEC53FB" w14:textId="44952F72" w:rsidR="001C4EA1" w:rsidRPr="00DF613C" w:rsidRDefault="001356CF" w:rsidP="00360444">
      <w:pPr>
        <w:pStyle w:val="ListParagraph"/>
        <w:widowControl w:val="0"/>
        <w:numPr>
          <w:ilvl w:val="0"/>
          <w:numId w:val="4"/>
        </w:numPr>
        <w:autoSpaceDE w:val="0"/>
        <w:autoSpaceDN w:val="0"/>
        <w:spacing w:after="240"/>
        <w:ind w:firstLineChars="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CONCLUSION AND RECOMMENDATIONS</w:t>
      </w:r>
      <w:r w:rsidR="001C4EA1" w:rsidRPr="00DF613C">
        <w:rPr>
          <w:rFonts w:ascii="Times New Roman" w:eastAsia="Times New Roman" w:hAnsi="Times New Roman"/>
          <w:sz w:val="22"/>
          <w:szCs w:val="22"/>
        </w:rPr>
        <w:t xml:space="preserve"> </w:t>
      </w:r>
    </w:p>
    <w:p w14:paraId="69D078BE" w14:textId="77777777" w:rsidR="001F7359" w:rsidRDefault="001356CF" w:rsidP="00360444">
      <w:pPr>
        <w:widowControl w:val="0"/>
        <w:autoSpaceDE w:val="0"/>
        <w:autoSpaceDN w:val="0"/>
        <w:spacing w:after="240"/>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lastRenderedPageBreak/>
        <w:t>The overall results emanating from this study indicate that even if a higher growth rate was obtained at the lower stocking densities (3fish m</w:t>
      </w:r>
      <w:r w:rsidRPr="00DF613C">
        <w:rPr>
          <w:rFonts w:ascii="Times New Roman" w:eastAsia="Times New Roman" w:hAnsi="Times New Roman"/>
          <w:color w:val="000000"/>
          <w:sz w:val="22"/>
          <w:szCs w:val="22"/>
          <w:vertAlign w:val="superscript"/>
        </w:rPr>
        <w:t>-2</w:t>
      </w:r>
      <w:r w:rsidRPr="00DF613C">
        <w:rPr>
          <w:rFonts w:ascii="Times New Roman" w:eastAsia="Times New Roman" w:hAnsi="Times New Roman"/>
          <w:color w:val="000000"/>
          <w:sz w:val="22"/>
          <w:szCs w:val="22"/>
        </w:rPr>
        <w:t>) after ending the trial period a higher stocking density of 7fish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 xml:space="preserve">gave a significantly higher yield or production per meter square and contribute the highest present of net profit than the lowest and intermediate stocking density and can be very useful to give good returns for local consumption and efficient utilization of resources. Therefore, stocking density is an important indicator that determined the production and profitability of the tilapia fish farm. This was important as baseline information on male </w:t>
      </w:r>
      <w:r w:rsidRPr="00DF613C">
        <w:rPr>
          <w:rFonts w:ascii="Times New Roman" w:eastAsia="Times New Roman" w:hAnsi="Times New Roman"/>
          <w:i/>
          <w:iCs/>
          <w:color w:val="000000"/>
          <w:sz w:val="22"/>
          <w:szCs w:val="22"/>
        </w:rPr>
        <w:t>O</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 xml:space="preserve">niloticus </w:t>
      </w:r>
      <w:r w:rsidRPr="00DF613C">
        <w:rPr>
          <w:rFonts w:ascii="Times New Roman" w:eastAsia="Times New Roman" w:hAnsi="Times New Roman"/>
          <w:color w:val="000000"/>
          <w:sz w:val="22"/>
          <w:szCs w:val="22"/>
        </w:rPr>
        <w:t xml:space="preserve">culture and </w:t>
      </w:r>
    </w:p>
    <w:p w14:paraId="223576DB" w14:textId="77777777" w:rsidR="001F7359" w:rsidRDefault="001F7359" w:rsidP="00360444">
      <w:pPr>
        <w:widowControl w:val="0"/>
        <w:autoSpaceDE w:val="0"/>
        <w:autoSpaceDN w:val="0"/>
        <w:spacing w:after="240"/>
        <w:jc w:val="both"/>
        <w:rPr>
          <w:rFonts w:ascii="Times New Roman" w:eastAsia="Times New Roman" w:hAnsi="Times New Roman"/>
          <w:color w:val="000000"/>
          <w:sz w:val="22"/>
          <w:szCs w:val="22"/>
        </w:rPr>
      </w:pPr>
    </w:p>
    <w:p w14:paraId="781D7E74" w14:textId="77777777" w:rsidR="001F7359" w:rsidRDefault="001F7359" w:rsidP="00360444">
      <w:pPr>
        <w:widowControl w:val="0"/>
        <w:autoSpaceDE w:val="0"/>
        <w:autoSpaceDN w:val="0"/>
        <w:spacing w:after="240"/>
        <w:jc w:val="both"/>
        <w:rPr>
          <w:rFonts w:ascii="Times New Roman" w:eastAsia="Times New Roman" w:hAnsi="Times New Roman"/>
          <w:color w:val="000000"/>
          <w:sz w:val="22"/>
          <w:szCs w:val="22"/>
        </w:rPr>
      </w:pPr>
    </w:p>
    <w:p w14:paraId="1E89329C" w14:textId="77777777" w:rsidR="001F7359" w:rsidRDefault="001F7359" w:rsidP="00360444">
      <w:pPr>
        <w:widowControl w:val="0"/>
        <w:autoSpaceDE w:val="0"/>
        <w:autoSpaceDN w:val="0"/>
        <w:spacing w:after="240"/>
        <w:jc w:val="both"/>
        <w:rPr>
          <w:rFonts w:ascii="Times New Roman" w:eastAsia="Times New Roman" w:hAnsi="Times New Roman"/>
          <w:color w:val="000000"/>
          <w:sz w:val="22"/>
          <w:szCs w:val="22"/>
        </w:rPr>
      </w:pPr>
    </w:p>
    <w:p w14:paraId="56572FDC" w14:textId="7DB4F55A" w:rsidR="001356CF" w:rsidRPr="00DF613C" w:rsidRDefault="001356CF" w:rsidP="00360444">
      <w:pPr>
        <w:widowControl w:val="0"/>
        <w:autoSpaceDE w:val="0"/>
        <w:autoSpaceDN w:val="0"/>
        <w:spacing w:after="240"/>
        <w:jc w:val="both"/>
        <w:rPr>
          <w:rFonts w:ascii="Times New Roman" w:eastAsia="Times New Roman" w:hAnsi="Times New Roman"/>
          <w:sz w:val="22"/>
          <w:szCs w:val="22"/>
        </w:rPr>
      </w:pPr>
      <w:r w:rsidRPr="00DF613C">
        <w:rPr>
          <w:rFonts w:ascii="Times New Roman" w:eastAsia="Times New Roman" w:hAnsi="Times New Roman"/>
          <w:color w:val="000000"/>
          <w:sz w:val="22"/>
          <w:szCs w:val="22"/>
        </w:rPr>
        <w:t>stocking density of pond fish farming to improve food security, reduce poverty and nutrition deficiency and maximize the contribution of aquaculture to the economy of the country.</w:t>
      </w:r>
      <w:r w:rsidRPr="00DF613C">
        <w:rPr>
          <w:rFonts w:ascii="Times New Roman" w:eastAsia="Times New Roman" w:hAnsi="Times New Roman"/>
          <w:sz w:val="22"/>
          <w:szCs w:val="22"/>
        </w:rPr>
        <w:t xml:space="preserve"> </w:t>
      </w:r>
      <w:r w:rsidRPr="00DF613C">
        <w:rPr>
          <w:rFonts w:ascii="Times New Roman" w:eastAsia="Times New Roman" w:hAnsi="Times New Roman"/>
          <w:color w:val="000000"/>
          <w:sz w:val="22"/>
          <w:szCs w:val="22"/>
        </w:rPr>
        <w:t>Therefore, further study should be conducted to investigate better stocking density beyond 7fishes m</w:t>
      </w:r>
      <w:r w:rsidRPr="00DF613C">
        <w:rPr>
          <w:rFonts w:ascii="Times New Roman" w:eastAsia="Times New Roman" w:hAnsi="Times New Roman"/>
          <w:color w:val="000000"/>
          <w:sz w:val="22"/>
          <w:szCs w:val="22"/>
          <w:vertAlign w:val="superscript"/>
        </w:rPr>
        <w:t xml:space="preserve">-2 </w:t>
      </w:r>
      <w:r w:rsidRPr="00DF613C">
        <w:rPr>
          <w:rFonts w:ascii="Times New Roman" w:eastAsia="Times New Roman" w:hAnsi="Times New Roman"/>
          <w:color w:val="000000"/>
          <w:sz w:val="22"/>
          <w:szCs w:val="22"/>
        </w:rPr>
        <w:t>and</w:t>
      </w:r>
      <w:r w:rsidRPr="00DF613C">
        <w:rPr>
          <w:rFonts w:ascii="Times New Roman" w:eastAsia="Times New Roman" w:hAnsi="Times New Roman"/>
          <w:color w:val="000000"/>
          <w:sz w:val="22"/>
          <w:szCs w:val="22"/>
          <w:vertAlign w:val="superscript"/>
        </w:rPr>
        <w:t xml:space="preserve"> </w:t>
      </w:r>
      <w:r w:rsidRPr="00DF613C">
        <w:rPr>
          <w:rFonts w:ascii="Times New Roman" w:eastAsia="Times New Roman" w:hAnsi="Times New Roman"/>
          <w:color w:val="000000"/>
          <w:sz w:val="22"/>
          <w:szCs w:val="22"/>
        </w:rPr>
        <w:t>whether it will be possible to get more yields per unit area. But need optimum management levels (quality feed and secured water supply) are necessary to fish growth under high-density systems.</w:t>
      </w:r>
      <w:bookmarkEnd w:id="3"/>
    </w:p>
    <w:p w14:paraId="69D3F77E"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03CA7E2F" w14:textId="77777777" w:rsidR="001356CF" w:rsidRPr="00DF613C" w:rsidRDefault="001356CF" w:rsidP="00360444">
      <w:pPr>
        <w:adjustRightInd w:val="0"/>
        <w:jc w:val="both"/>
        <w:rPr>
          <w:rFonts w:ascii="Times New Roman" w:eastAsia="Calibri" w:hAnsi="Times New Roman"/>
          <w:b/>
          <w:bCs/>
          <w:sz w:val="22"/>
          <w:szCs w:val="22"/>
        </w:rPr>
      </w:pPr>
      <w:r w:rsidRPr="00DF613C">
        <w:rPr>
          <w:rFonts w:ascii="Times New Roman" w:eastAsia="Calibri" w:hAnsi="Times New Roman"/>
          <w:b/>
          <w:bCs/>
          <w:sz w:val="22"/>
          <w:szCs w:val="22"/>
        </w:rPr>
        <w:t>ACKNOWLEDGMENTS</w:t>
      </w:r>
    </w:p>
    <w:p w14:paraId="0A5789A6" w14:textId="77777777" w:rsidR="001356CF" w:rsidRPr="00DF613C" w:rsidRDefault="001356CF" w:rsidP="00360444">
      <w:pPr>
        <w:jc w:val="both"/>
        <w:rPr>
          <w:rFonts w:ascii="Times New Roman" w:eastAsia="Times New Roman" w:hAnsi="Times New Roman"/>
          <w:sz w:val="22"/>
          <w:szCs w:val="22"/>
        </w:rPr>
      </w:pPr>
      <w:r w:rsidRPr="00DF613C">
        <w:rPr>
          <w:rFonts w:ascii="Times New Roman" w:eastAsia="Times New Roman" w:hAnsi="Times New Roman"/>
          <w:sz w:val="22"/>
          <w:szCs w:val="22"/>
        </w:rPr>
        <w:t>The authors wish to acknowledge the Amhara Region Agricultural Research Institute for funding the project.</w:t>
      </w:r>
    </w:p>
    <w:p w14:paraId="5B485E19" w14:textId="77777777" w:rsidR="001356CF" w:rsidRPr="00DF613C" w:rsidRDefault="001356CF" w:rsidP="00360444">
      <w:pPr>
        <w:widowControl w:val="0"/>
        <w:autoSpaceDE w:val="0"/>
        <w:autoSpaceDN w:val="0"/>
        <w:jc w:val="both"/>
        <w:rPr>
          <w:rFonts w:ascii="Times New Roman" w:eastAsia="Times New Roman" w:hAnsi="Times New Roman"/>
          <w:b/>
          <w:bCs/>
          <w:color w:val="000000"/>
          <w:sz w:val="22"/>
          <w:szCs w:val="22"/>
        </w:rPr>
      </w:pPr>
    </w:p>
    <w:p w14:paraId="2B4176E6" w14:textId="77777777" w:rsidR="008A372C" w:rsidRDefault="008A372C" w:rsidP="00360444">
      <w:pPr>
        <w:widowControl w:val="0"/>
        <w:autoSpaceDE w:val="0"/>
        <w:autoSpaceDN w:val="0"/>
        <w:spacing w:after="240"/>
        <w:jc w:val="both"/>
        <w:rPr>
          <w:rFonts w:ascii="Times New Roman" w:eastAsia="Times New Roman" w:hAnsi="Times New Roman"/>
          <w:b/>
          <w:bCs/>
          <w:color w:val="000000"/>
          <w:sz w:val="22"/>
          <w:szCs w:val="22"/>
        </w:rPr>
        <w:sectPr w:rsidR="008A372C" w:rsidSect="00360444">
          <w:type w:val="continuous"/>
          <w:pgSz w:w="11907" w:h="16839" w:code="9"/>
          <w:pgMar w:top="1440" w:right="1440" w:bottom="1440" w:left="1440" w:header="720" w:footer="720" w:gutter="0"/>
          <w:cols w:num="2" w:space="720"/>
          <w:docGrid w:linePitch="360"/>
        </w:sectPr>
      </w:pPr>
    </w:p>
    <w:p w14:paraId="024ED926" w14:textId="33ADBD3C" w:rsidR="001356CF" w:rsidRPr="00DF613C" w:rsidRDefault="001356CF" w:rsidP="00360444">
      <w:pPr>
        <w:widowControl w:val="0"/>
        <w:autoSpaceDE w:val="0"/>
        <w:autoSpaceDN w:val="0"/>
        <w:spacing w:after="240"/>
        <w:jc w:val="both"/>
        <w:rPr>
          <w:rFonts w:ascii="Times New Roman" w:eastAsia="Times New Roman" w:hAnsi="Times New Roman"/>
          <w:sz w:val="22"/>
          <w:szCs w:val="22"/>
        </w:rPr>
      </w:pPr>
      <w:r w:rsidRPr="00DF613C">
        <w:rPr>
          <w:rFonts w:ascii="Times New Roman" w:eastAsia="Times New Roman" w:hAnsi="Times New Roman"/>
          <w:b/>
          <w:bCs/>
          <w:color w:val="000000"/>
          <w:sz w:val="22"/>
          <w:szCs w:val="22"/>
        </w:rPr>
        <w:t>REFERENCES  </w:t>
      </w:r>
    </w:p>
    <w:p w14:paraId="25ED4825"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Abou-Zied, R M. and Ali A </w:t>
      </w:r>
      <w:r w:rsidRPr="00DF613C">
        <w:rPr>
          <w:rFonts w:ascii="Times New Roman" w:eastAsia="Times New Roman" w:hAnsi="Times New Roman"/>
          <w:color w:val="000000"/>
          <w:sz w:val="22"/>
          <w:szCs w:val="22"/>
          <w:shd w:val="clear" w:color="auto" w:fill="FFFFFF"/>
          <w:lang w:val="am-ET"/>
        </w:rPr>
        <w:t>(</w:t>
      </w:r>
      <w:r w:rsidRPr="00DF613C">
        <w:rPr>
          <w:rFonts w:ascii="Times New Roman" w:eastAsia="Times New Roman" w:hAnsi="Times New Roman"/>
          <w:color w:val="000000"/>
          <w:sz w:val="22"/>
          <w:szCs w:val="22"/>
          <w:shd w:val="clear" w:color="auto" w:fill="FFFFFF"/>
        </w:rPr>
        <w:t>2012</w:t>
      </w:r>
      <w:r w:rsidRPr="00DF613C">
        <w:rPr>
          <w:rFonts w:ascii="Times New Roman" w:eastAsia="Times New Roman" w:hAnsi="Times New Roman"/>
          <w:color w:val="000000"/>
          <w:sz w:val="22"/>
          <w:szCs w:val="22"/>
          <w:shd w:val="clear" w:color="auto" w:fill="FFFFFF"/>
          <w:lang w:val="am-ET"/>
        </w:rPr>
        <w:t>).</w:t>
      </w:r>
      <w:r w:rsidRPr="00DF613C">
        <w:rPr>
          <w:rFonts w:ascii="Times New Roman" w:eastAsia="Times New Roman" w:hAnsi="Times New Roman"/>
          <w:color w:val="000000"/>
          <w:sz w:val="22"/>
          <w:szCs w:val="22"/>
          <w:shd w:val="clear" w:color="auto" w:fill="FFFFFF"/>
        </w:rPr>
        <w:t xml:space="preserve"> Effect of stocking density in intensive fish culture system on growth performance, feed utilization, and economic productivity of Nile tilapia (</w:t>
      </w:r>
      <w:r w:rsidRPr="00DF613C">
        <w:rPr>
          <w:rFonts w:ascii="Times New Roman" w:eastAsia="Times New Roman" w:hAnsi="Times New Roman"/>
          <w:i/>
          <w:iCs/>
          <w:color w:val="000000"/>
          <w:sz w:val="22"/>
          <w:szCs w:val="22"/>
          <w:shd w:val="clear" w:color="auto" w:fill="FFFFFF"/>
        </w:rPr>
        <w:t>O.niloticus</w:t>
      </w:r>
      <w:r w:rsidRPr="00DF613C">
        <w:rPr>
          <w:rFonts w:ascii="Times New Roman" w:eastAsia="Times New Roman" w:hAnsi="Times New Roman"/>
          <w:color w:val="000000"/>
          <w:sz w:val="22"/>
          <w:szCs w:val="22"/>
          <w:shd w:val="clear" w:color="auto" w:fill="FFFFFF"/>
        </w:rPr>
        <w:t xml:space="preserve"> l.) reared in hapas. </w:t>
      </w:r>
      <w:r w:rsidRPr="00DF613C">
        <w:rPr>
          <w:rFonts w:ascii="Times New Roman" w:eastAsia="Times New Roman" w:hAnsi="Times New Roman"/>
          <w:i/>
          <w:color w:val="000000"/>
          <w:sz w:val="22"/>
          <w:szCs w:val="22"/>
          <w:shd w:val="clear" w:color="auto" w:fill="FFFFFF"/>
        </w:rPr>
        <w:t xml:space="preserve">Internal Journal of </w:t>
      </w:r>
      <w:r w:rsidRPr="00DF613C">
        <w:rPr>
          <w:rFonts w:ascii="Times New Roman" w:eastAsia="Times New Roman" w:hAnsi="Times New Roman"/>
          <w:i/>
          <w:color w:val="000000"/>
          <w:sz w:val="22"/>
          <w:szCs w:val="22"/>
        </w:rPr>
        <w:t>Aquaculture</w:t>
      </w:r>
      <w:r w:rsidRPr="00DF613C">
        <w:rPr>
          <w:rFonts w:ascii="Times New Roman" w:eastAsia="Times New Roman" w:hAnsi="Times New Roman"/>
          <w:color w:val="000000"/>
          <w:sz w:val="22"/>
          <w:szCs w:val="22"/>
          <w:shd w:val="clear" w:color="auto" w:fill="FFFFFF"/>
        </w:rPr>
        <w:t>, 5, 487-499.</w:t>
      </w:r>
    </w:p>
    <w:p w14:paraId="1AF575E8"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Adamneh Dagne, Fasil Degefu, and Aschalew Lakew (2013). Comparative growth performance of mono-sex and the mixed-sex Nile tilapia (</w:t>
      </w:r>
      <w:r w:rsidRPr="00DF613C">
        <w:rPr>
          <w:rFonts w:ascii="Times New Roman" w:eastAsia="Times New Roman" w:hAnsi="Times New Roman"/>
          <w:i/>
          <w:iCs/>
          <w:color w:val="000000"/>
          <w:sz w:val="22"/>
          <w:szCs w:val="22"/>
        </w:rPr>
        <w:t>O.niloticus l.)</w:t>
      </w:r>
      <w:r w:rsidRPr="00DF613C">
        <w:rPr>
          <w:rFonts w:ascii="Times New Roman" w:eastAsia="Times New Roman" w:hAnsi="Times New Roman"/>
          <w:color w:val="000000"/>
          <w:sz w:val="22"/>
          <w:szCs w:val="22"/>
        </w:rPr>
        <w:t xml:space="preserve"> in pond culture system at Sebeta, Ethiopian.</w:t>
      </w:r>
      <w:r w:rsidRPr="00DF613C">
        <w:rPr>
          <w:rFonts w:ascii="Times New Roman" w:eastAsia="Times New Roman" w:hAnsi="Times New Roman"/>
          <w:b/>
          <w:bCs/>
          <w:color w:val="000000"/>
          <w:sz w:val="22"/>
          <w:szCs w:val="22"/>
        </w:rPr>
        <w:t xml:space="preserve"> </w:t>
      </w:r>
      <w:r w:rsidRPr="00DF613C">
        <w:rPr>
          <w:rFonts w:ascii="Times New Roman" w:eastAsia="Times New Roman" w:hAnsi="Times New Roman"/>
          <w:i/>
          <w:color w:val="000000"/>
          <w:sz w:val="22"/>
          <w:szCs w:val="22"/>
        </w:rPr>
        <w:t>International Journal of Aquaculture.</w:t>
      </w:r>
      <w:r w:rsidRPr="00DF613C">
        <w:rPr>
          <w:rFonts w:ascii="Times New Roman" w:eastAsia="Times New Roman" w:hAnsi="Times New Roman"/>
          <w:color w:val="000000"/>
          <w:sz w:val="22"/>
          <w:szCs w:val="22"/>
        </w:rPr>
        <w:t>3 (1),30-34.</w:t>
      </w:r>
    </w:p>
    <w:p w14:paraId="55B9142E"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Alayu Yalew (2018). </w:t>
      </w:r>
      <w:r w:rsidRPr="00DF613C">
        <w:rPr>
          <w:rFonts w:ascii="Times New Roman" w:eastAsia="Times New Roman" w:hAnsi="Times New Roman"/>
          <w:iCs/>
          <w:color w:val="000000"/>
          <w:sz w:val="22"/>
          <w:szCs w:val="22"/>
          <w:shd w:val="clear" w:color="auto" w:fill="FFFFFF"/>
        </w:rPr>
        <w:t>Aspects of the Reproductive Biology, Growth Performance, and Survival of the African Catfish, Clarias gariepinus (Burchell, 1822) in captivity for Enhancing Aquaculture</w:t>
      </w:r>
      <w:r w:rsidRPr="00DF613C">
        <w:rPr>
          <w:rFonts w:ascii="Times New Roman" w:eastAsia="Times New Roman" w:hAnsi="Times New Roman"/>
          <w:color w:val="000000"/>
          <w:sz w:val="22"/>
          <w:szCs w:val="22"/>
          <w:shd w:val="clear" w:color="auto" w:fill="FFFFFF"/>
        </w:rPr>
        <w:t xml:space="preserve"> (Ph.D) thesis </w:t>
      </w:r>
      <w:r w:rsidRPr="00DF613C">
        <w:rPr>
          <w:rFonts w:ascii="Times New Roman" w:eastAsia="Times New Roman" w:hAnsi="Times New Roman"/>
          <w:b/>
          <w:bCs/>
          <w:color w:val="000000"/>
          <w:sz w:val="22"/>
          <w:szCs w:val="22"/>
        </w:rPr>
        <w:t xml:space="preserve">submitted to </w:t>
      </w:r>
      <w:r w:rsidRPr="00DF613C">
        <w:rPr>
          <w:rFonts w:ascii="Times New Roman" w:eastAsia="Times New Roman" w:hAnsi="Times New Roman"/>
          <w:color w:val="000000"/>
          <w:sz w:val="22"/>
          <w:szCs w:val="22"/>
          <w:shd w:val="clear" w:color="auto" w:fill="FFFFFF"/>
        </w:rPr>
        <w:t>Ababa University 163 pp).</w:t>
      </w:r>
    </w:p>
    <w:p w14:paraId="38480CD1"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lang w:val="de-DE"/>
        </w:rPr>
        <w:t xml:space="preserve">Alhasan E H, Abarike E D and Ayisi C L (2012).  </w:t>
      </w:r>
      <w:r w:rsidRPr="00DF613C">
        <w:rPr>
          <w:rFonts w:ascii="Times New Roman" w:eastAsia="Times New Roman" w:hAnsi="Times New Roman"/>
          <w:color w:val="000000"/>
          <w:sz w:val="22"/>
          <w:szCs w:val="22"/>
        </w:rPr>
        <w:t xml:space="preserve">Effects of stocking density on the growth and </w:t>
      </w:r>
      <w:r w:rsidRPr="00DF613C">
        <w:rPr>
          <w:rFonts w:ascii="Times New Roman" w:eastAsia="Times New Roman" w:hAnsi="Times New Roman"/>
          <w:color w:val="000000"/>
          <w:sz w:val="22"/>
          <w:szCs w:val="22"/>
        </w:rPr>
        <w:tab/>
        <w:t xml:space="preserve">survival of </w:t>
      </w:r>
      <w:r w:rsidRPr="00DF613C">
        <w:rPr>
          <w:rFonts w:ascii="Times New Roman" w:eastAsia="Times New Roman" w:hAnsi="Times New Roman"/>
          <w:i/>
          <w:iCs/>
          <w:color w:val="000000"/>
          <w:sz w:val="22"/>
          <w:szCs w:val="22"/>
        </w:rPr>
        <w:t xml:space="preserve">O.niloticus </w:t>
      </w:r>
      <w:r w:rsidRPr="00DF613C">
        <w:rPr>
          <w:rFonts w:ascii="Times New Roman" w:eastAsia="Times New Roman" w:hAnsi="Times New Roman"/>
          <w:color w:val="000000"/>
          <w:sz w:val="22"/>
          <w:szCs w:val="22"/>
        </w:rPr>
        <w:t xml:space="preserve">cultured in hapas in a concrete tank. </w:t>
      </w:r>
      <w:r w:rsidRPr="00DF613C">
        <w:rPr>
          <w:rFonts w:ascii="Times New Roman" w:eastAsia="Times New Roman" w:hAnsi="Times New Roman"/>
          <w:i/>
          <w:color w:val="000000"/>
          <w:sz w:val="22"/>
          <w:szCs w:val="22"/>
        </w:rPr>
        <w:t xml:space="preserve">African Journal of </w:t>
      </w:r>
      <w:r w:rsidRPr="00DF613C">
        <w:rPr>
          <w:rFonts w:ascii="Times New Roman" w:eastAsia="Times New Roman" w:hAnsi="Times New Roman"/>
          <w:i/>
          <w:color w:val="000000"/>
          <w:sz w:val="22"/>
          <w:szCs w:val="22"/>
        </w:rPr>
        <w:tab/>
        <w:t>Agricultural Research,</w:t>
      </w:r>
      <w:r w:rsidRPr="00DF613C">
        <w:rPr>
          <w:rFonts w:ascii="Times New Roman" w:eastAsia="Times New Roman" w:hAnsi="Times New Roman"/>
          <w:b/>
          <w:i/>
          <w:color w:val="000000"/>
          <w:sz w:val="22"/>
          <w:szCs w:val="22"/>
        </w:rPr>
        <w:t xml:space="preserve"> </w:t>
      </w:r>
      <w:r w:rsidRPr="00DF613C">
        <w:rPr>
          <w:rFonts w:ascii="Times New Roman" w:eastAsia="Times New Roman" w:hAnsi="Times New Roman"/>
          <w:color w:val="000000"/>
          <w:sz w:val="22"/>
          <w:szCs w:val="22"/>
        </w:rPr>
        <w:t>7(15), 2405-2411</w:t>
      </w:r>
    </w:p>
    <w:p w14:paraId="39042EB8" w14:textId="77777777" w:rsidR="008503BF" w:rsidRDefault="001356CF" w:rsidP="00360444">
      <w:pPr>
        <w:widowControl w:val="0"/>
        <w:autoSpaceDE w:val="0"/>
        <w:autoSpaceDN w:val="0"/>
        <w:ind w:left="634" w:hanging="634"/>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 xml:space="preserve">Ashagrie Gibtan, Abebe Getahun and Seyoum </w:t>
      </w:r>
    </w:p>
    <w:p w14:paraId="21E92A1B" w14:textId="77777777" w:rsidR="008503BF" w:rsidRDefault="008503BF" w:rsidP="00360444">
      <w:pPr>
        <w:widowControl w:val="0"/>
        <w:autoSpaceDE w:val="0"/>
        <w:autoSpaceDN w:val="0"/>
        <w:ind w:left="634" w:hanging="634"/>
        <w:jc w:val="both"/>
        <w:rPr>
          <w:rFonts w:ascii="Times New Roman" w:eastAsia="Times New Roman" w:hAnsi="Times New Roman"/>
          <w:color w:val="000000"/>
          <w:sz w:val="22"/>
          <w:szCs w:val="22"/>
        </w:rPr>
      </w:pPr>
    </w:p>
    <w:p w14:paraId="09011884" w14:textId="77777777" w:rsidR="008503BF" w:rsidRDefault="008503BF" w:rsidP="00360444">
      <w:pPr>
        <w:widowControl w:val="0"/>
        <w:autoSpaceDE w:val="0"/>
        <w:autoSpaceDN w:val="0"/>
        <w:ind w:left="634" w:hanging="634"/>
        <w:jc w:val="both"/>
        <w:rPr>
          <w:rFonts w:ascii="Times New Roman" w:eastAsia="Times New Roman" w:hAnsi="Times New Roman"/>
          <w:color w:val="000000"/>
          <w:sz w:val="22"/>
          <w:szCs w:val="22"/>
        </w:rPr>
      </w:pPr>
    </w:p>
    <w:p w14:paraId="0A16371B" w14:textId="77777777" w:rsidR="008503BF" w:rsidRDefault="008503BF" w:rsidP="00360444">
      <w:pPr>
        <w:widowControl w:val="0"/>
        <w:autoSpaceDE w:val="0"/>
        <w:autoSpaceDN w:val="0"/>
        <w:ind w:left="634" w:hanging="634"/>
        <w:jc w:val="both"/>
        <w:rPr>
          <w:rFonts w:ascii="Times New Roman" w:eastAsia="Times New Roman" w:hAnsi="Times New Roman"/>
          <w:color w:val="000000"/>
          <w:sz w:val="22"/>
          <w:szCs w:val="22"/>
        </w:rPr>
      </w:pPr>
    </w:p>
    <w:p w14:paraId="114CAE4D" w14:textId="77777777" w:rsidR="008503BF" w:rsidRDefault="008503BF" w:rsidP="00360444">
      <w:pPr>
        <w:widowControl w:val="0"/>
        <w:autoSpaceDE w:val="0"/>
        <w:autoSpaceDN w:val="0"/>
        <w:ind w:left="634" w:hanging="634"/>
        <w:jc w:val="both"/>
        <w:rPr>
          <w:rFonts w:ascii="Times New Roman" w:eastAsia="Times New Roman" w:hAnsi="Times New Roman"/>
          <w:color w:val="000000"/>
          <w:sz w:val="22"/>
          <w:szCs w:val="22"/>
        </w:rPr>
      </w:pPr>
    </w:p>
    <w:p w14:paraId="51161E11" w14:textId="70810D53" w:rsidR="008A372C" w:rsidRDefault="001356CF" w:rsidP="00360444">
      <w:pPr>
        <w:widowControl w:val="0"/>
        <w:autoSpaceDE w:val="0"/>
        <w:autoSpaceDN w:val="0"/>
        <w:ind w:left="634" w:hanging="634"/>
        <w:jc w:val="both"/>
        <w:rPr>
          <w:rFonts w:ascii="Times New Roman" w:eastAsia="Times New Roman" w:hAnsi="Times New Roman"/>
          <w:color w:val="000000"/>
          <w:sz w:val="22"/>
          <w:szCs w:val="22"/>
        </w:rPr>
      </w:pPr>
      <w:r w:rsidRPr="00DF613C">
        <w:rPr>
          <w:rFonts w:ascii="Times New Roman" w:eastAsia="Times New Roman" w:hAnsi="Times New Roman"/>
          <w:color w:val="000000"/>
          <w:sz w:val="22"/>
          <w:szCs w:val="22"/>
        </w:rPr>
        <w:t>Mengistu (2008). Effects of stocking</w:t>
      </w:r>
      <w:r w:rsidRPr="00DF613C">
        <w:rPr>
          <w:rFonts w:ascii="Times New Roman" w:eastAsia="Times New Roman" w:hAnsi="Times New Roman"/>
          <w:color w:val="000000"/>
          <w:sz w:val="22"/>
          <w:szCs w:val="22"/>
        </w:rPr>
        <w:br/>
      </w:r>
      <w:r w:rsidRPr="00DF613C">
        <w:rPr>
          <w:rFonts w:ascii="Times New Roman" w:eastAsia="Times New Roman" w:hAnsi="Times New Roman"/>
          <w:color w:val="000000"/>
          <w:sz w:val="22"/>
          <w:szCs w:val="22"/>
        </w:rPr>
        <w:tab/>
        <w:t>density on the growth performances and yield of Nile Tilapia [</w:t>
      </w:r>
      <w:r w:rsidRPr="00DF613C">
        <w:rPr>
          <w:rFonts w:ascii="Times New Roman" w:eastAsia="Times New Roman" w:hAnsi="Times New Roman"/>
          <w:i/>
          <w:iCs/>
          <w:color w:val="000000"/>
          <w:sz w:val="22"/>
          <w:szCs w:val="22"/>
        </w:rPr>
        <w:t>O</w:t>
      </w:r>
      <w:r w:rsidRPr="00DF613C">
        <w:rPr>
          <w:rFonts w:ascii="Times New Roman" w:eastAsia="Times New Roman" w:hAnsi="Times New Roman"/>
          <w:color w:val="000000"/>
          <w:sz w:val="22"/>
          <w:szCs w:val="22"/>
        </w:rPr>
        <w:br/>
      </w:r>
      <w:r w:rsidRPr="00DF613C">
        <w:rPr>
          <w:rFonts w:ascii="Times New Roman" w:eastAsia="Times New Roman" w:hAnsi="Times New Roman"/>
          <w:i/>
          <w:iCs/>
          <w:color w:val="000000"/>
          <w:sz w:val="22"/>
          <w:szCs w:val="22"/>
        </w:rPr>
        <w:tab/>
        <w:t>niloticus</w:t>
      </w:r>
      <w:r w:rsidRPr="00DF613C">
        <w:rPr>
          <w:rFonts w:ascii="Times New Roman" w:eastAsia="Times New Roman" w:hAnsi="Times New Roman"/>
          <w:color w:val="000000"/>
          <w:sz w:val="22"/>
          <w:szCs w:val="22"/>
        </w:rPr>
        <w:t xml:space="preserve"> (L. 1758)] in a cage culture system in Lake Kuriftu, Ethiopia. </w:t>
      </w:r>
    </w:p>
    <w:p w14:paraId="1BC28ACE" w14:textId="77777777" w:rsidR="008A372C" w:rsidRDefault="008A372C" w:rsidP="00360444">
      <w:pPr>
        <w:widowControl w:val="0"/>
        <w:autoSpaceDE w:val="0"/>
        <w:autoSpaceDN w:val="0"/>
        <w:ind w:left="634" w:hanging="634"/>
        <w:jc w:val="both"/>
        <w:rPr>
          <w:rFonts w:ascii="Times New Roman" w:eastAsia="Times New Roman" w:hAnsi="Times New Roman"/>
          <w:color w:val="000000"/>
          <w:sz w:val="22"/>
          <w:szCs w:val="22"/>
        </w:rPr>
      </w:pPr>
    </w:p>
    <w:p w14:paraId="1153C613" w14:textId="77777777" w:rsidR="008A372C" w:rsidRDefault="008A372C" w:rsidP="00360444">
      <w:pPr>
        <w:widowControl w:val="0"/>
        <w:autoSpaceDE w:val="0"/>
        <w:autoSpaceDN w:val="0"/>
        <w:ind w:left="634" w:hanging="634"/>
        <w:jc w:val="both"/>
        <w:rPr>
          <w:rFonts w:ascii="Times New Roman" w:eastAsia="Times New Roman" w:hAnsi="Times New Roman"/>
          <w:color w:val="000000"/>
          <w:sz w:val="22"/>
          <w:szCs w:val="22"/>
        </w:rPr>
      </w:pPr>
    </w:p>
    <w:p w14:paraId="55E27415" w14:textId="77777777" w:rsidR="008A372C" w:rsidRDefault="008A372C" w:rsidP="00360444">
      <w:pPr>
        <w:widowControl w:val="0"/>
        <w:autoSpaceDE w:val="0"/>
        <w:autoSpaceDN w:val="0"/>
        <w:ind w:left="634" w:hanging="634"/>
        <w:jc w:val="both"/>
        <w:rPr>
          <w:rFonts w:ascii="Times New Roman" w:eastAsia="Times New Roman" w:hAnsi="Times New Roman"/>
          <w:color w:val="000000"/>
          <w:sz w:val="22"/>
          <w:szCs w:val="22"/>
        </w:rPr>
      </w:pPr>
    </w:p>
    <w:p w14:paraId="6B8C37C5" w14:textId="77777777" w:rsidR="008A372C" w:rsidRDefault="008A372C" w:rsidP="00360444">
      <w:pPr>
        <w:widowControl w:val="0"/>
        <w:autoSpaceDE w:val="0"/>
        <w:autoSpaceDN w:val="0"/>
        <w:ind w:left="634" w:hanging="634"/>
        <w:jc w:val="both"/>
        <w:rPr>
          <w:rFonts w:ascii="Times New Roman" w:eastAsia="Times New Roman" w:hAnsi="Times New Roman"/>
          <w:color w:val="000000"/>
          <w:sz w:val="22"/>
          <w:szCs w:val="22"/>
        </w:rPr>
      </w:pPr>
    </w:p>
    <w:p w14:paraId="3F207B2D" w14:textId="588C5C6C"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i/>
          <w:color w:val="000000"/>
          <w:sz w:val="22"/>
          <w:szCs w:val="22"/>
        </w:rPr>
        <w:t xml:space="preserve">Aquaculture </w:t>
      </w:r>
      <w:r w:rsidRPr="00DF613C">
        <w:rPr>
          <w:rFonts w:ascii="Times New Roman" w:eastAsia="Times New Roman" w:hAnsi="Times New Roman"/>
          <w:i/>
          <w:color w:val="000000"/>
          <w:sz w:val="22"/>
          <w:szCs w:val="22"/>
        </w:rPr>
        <w:tab/>
        <w:t>Research,</w:t>
      </w:r>
      <w:r w:rsidRPr="00DF613C">
        <w:rPr>
          <w:rFonts w:ascii="Times New Roman" w:eastAsia="Times New Roman" w:hAnsi="Times New Roman"/>
          <w:color w:val="000000"/>
          <w:sz w:val="22"/>
          <w:szCs w:val="22"/>
        </w:rPr>
        <w:t xml:space="preserve"> 39(13), 1450-1460.</w:t>
      </w:r>
    </w:p>
    <w:p w14:paraId="5C22519A"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 xml:space="preserve">Chapman F (2000). </w:t>
      </w:r>
      <w:r w:rsidRPr="00DF613C">
        <w:rPr>
          <w:rFonts w:ascii="Times New Roman" w:eastAsia="Times New Roman" w:hAnsi="Times New Roman"/>
          <w:i/>
          <w:iCs/>
          <w:color w:val="000000"/>
          <w:sz w:val="22"/>
          <w:szCs w:val="22"/>
        </w:rPr>
        <w:t>Culture of Hybrid Tilapia</w:t>
      </w:r>
      <w:r w:rsidRPr="00DF613C">
        <w:rPr>
          <w:rFonts w:ascii="Times New Roman" w:eastAsia="Times New Roman" w:hAnsi="Times New Roman"/>
          <w:color w:val="000000"/>
          <w:sz w:val="22"/>
          <w:szCs w:val="22"/>
        </w:rPr>
        <w:t>. The University of Florida,</w:t>
      </w:r>
      <w:r w:rsidRPr="00DF613C">
        <w:rPr>
          <w:rFonts w:ascii="Times New Roman" w:eastAsia="Times New Roman" w:hAnsi="Times New Roman"/>
          <w:color w:val="000000"/>
          <w:sz w:val="22"/>
          <w:szCs w:val="22"/>
        </w:rPr>
        <w:br/>
        <w:t xml:space="preserve"> </w:t>
      </w:r>
      <w:r w:rsidRPr="00DF613C">
        <w:rPr>
          <w:rFonts w:ascii="Times New Roman" w:eastAsia="Times New Roman" w:hAnsi="Times New Roman"/>
          <w:color w:val="000000"/>
          <w:sz w:val="22"/>
          <w:szCs w:val="22"/>
        </w:rPr>
        <w:tab/>
        <w:t>Institution of Food and Agriculture Science, Gainesville, FL, USA.</w:t>
      </w:r>
    </w:p>
    <w:p w14:paraId="2BA15C22"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222222"/>
          <w:sz w:val="22"/>
          <w:szCs w:val="22"/>
          <w:shd w:val="clear" w:color="auto" w:fill="FFFFFF"/>
        </w:rPr>
        <w:t xml:space="preserve">Craig S R, Helfrich L A, Kuhn D and Schwarz M H (2017). </w:t>
      </w:r>
      <w:r w:rsidRPr="00DF613C">
        <w:rPr>
          <w:rFonts w:ascii="Times New Roman" w:eastAsia="Times New Roman" w:hAnsi="Times New Roman"/>
          <w:i/>
          <w:color w:val="222222"/>
          <w:sz w:val="22"/>
          <w:szCs w:val="22"/>
          <w:shd w:val="clear" w:color="auto" w:fill="FFFFFF"/>
        </w:rPr>
        <w:t xml:space="preserve">Understanding fish nutrition feeds </w:t>
      </w:r>
      <w:r w:rsidRPr="00DF613C">
        <w:rPr>
          <w:rFonts w:ascii="Times New Roman" w:eastAsia="Times New Roman" w:hAnsi="Times New Roman"/>
          <w:i/>
          <w:color w:val="222222"/>
          <w:sz w:val="22"/>
          <w:szCs w:val="22"/>
          <w:shd w:val="clear" w:color="auto" w:fill="FFFFFF"/>
        </w:rPr>
        <w:tab/>
        <w:t>and feeding</w:t>
      </w:r>
      <w:r w:rsidRPr="00DF613C">
        <w:rPr>
          <w:rFonts w:ascii="Times New Roman" w:eastAsia="Times New Roman" w:hAnsi="Times New Roman"/>
          <w:b/>
          <w:color w:val="222222"/>
          <w:sz w:val="22"/>
          <w:szCs w:val="22"/>
          <w:shd w:val="clear" w:color="auto" w:fill="FFFFFF"/>
        </w:rPr>
        <w:t>.</w:t>
      </w:r>
      <w:r w:rsidRPr="00DF613C">
        <w:rPr>
          <w:rFonts w:ascii="Times New Roman" w:eastAsia="Times New Roman" w:hAnsi="Times New Roman"/>
          <w:color w:val="000000"/>
          <w:sz w:val="22"/>
          <w:szCs w:val="22"/>
        </w:rPr>
        <w:t xml:space="preserve"> Virginia University, 420-256    </w:t>
      </w:r>
    </w:p>
    <w:p w14:paraId="6858605D"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Daudpota A M, Kalhoro I B, Shah S A, Kalhoro H and Abbas G (2014). Effect of stocking densities on growth, production, and survival rate of red tilapia in hapa at fish hatchery Chilya Thatta, Sindh, and Pakistan. </w:t>
      </w:r>
      <w:r w:rsidRPr="00DF613C">
        <w:rPr>
          <w:rFonts w:ascii="Times New Roman" w:eastAsia="Times New Roman" w:hAnsi="Times New Roman"/>
          <w:i/>
          <w:color w:val="000000"/>
          <w:sz w:val="22"/>
          <w:szCs w:val="22"/>
          <w:shd w:val="clear" w:color="auto" w:fill="FFFFFF"/>
        </w:rPr>
        <w:t>Journal of Fisheries</w:t>
      </w:r>
      <w:r w:rsidRPr="00DF613C">
        <w:rPr>
          <w:rFonts w:ascii="Times New Roman" w:eastAsia="Times New Roman" w:hAnsi="Times New Roman"/>
          <w:color w:val="000000"/>
          <w:sz w:val="22"/>
          <w:szCs w:val="22"/>
          <w:shd w:val="clear" w:color="auto" w:fill="FFFFFF"/>
        </w:rPr>
        <w:t>, 2(3), 180-</w:t>
      </w:r>
      <w:r w:rsidRPr="00DF613C">
        <w:rPr>
          <w:rFonts w:ascii="Times New Roman" w:eastAsia="Times New Roman" w:hAnsi="Times New Roman"/>
          <w:color w:val="000000"/>
          <w:sz w:val="22"/>
          <w:szCs w:val="22"/>
          <w:shd w:val="clear" w:color="auto" w:fill="FFFFFF"/>
        </w:rPr>
        <w:tab/>
        <w:t>186.</w:t>
      </w:r>
    </w:p>
    <w:p w14:paraId="2175ABB9"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 xml:space="preserve">Diana J S, Yi Y and Lin C K (2004). Stocking densities and fertilization regimes for Nile tilapia </w:t>
      </w:r>
      <w:r w:rsidRPr="00DF613C">
        <w:rPr>
          <w:rFonts w:ascii="Times New Roman" w:eastAsia="Times New Roman" w:hAnsi="Times New Roman"/>
          <w:color w:val="000000"/>
          <w:sz w:val="22"/>
          <w:szCs w:val="22"/>
        </w:rPr>
        <w:tab/>
        <w:t>(</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production in ponds with supplemental feeding, </w:t>
      </w:r>
      <w:r w:rsidRPr="00DF613C">
        <w:rPr>
          <w:rFonts w:ascii="Times New Roman" w:eastAsia="Times New Roman" w:hAnsi="Times New Roman"/>
          <w:b/>
          <w:color w:val="000000"/>
          <w:sz w:val="22"/>
          <w:szCs w:val="22"/>
        </w:rPr>
        <w:t xml:space="preserve">in </w:t>
      </w:r>
      <w:r w:rsidRPr="00DF613C">
        <w:rPr>
          <w:rFonts w:ascii="Times New Roman" w:eastAsia="Times New Roman" w:hAnsi="Times New Roman"/>
          <w:i/>
          <w:color w:val="000000"/>
          <w:sz w:val="22"/>
          <w:szCs w:val="22"/>
        </w:rPr>
        <w:t xml:space="preserve">Proceedings of the </w:t>
      </w:r>
      <w:r w:rsidRPr="00DF613C">
        <w:rPr>
          <w:rFonts w:ascii="Times New Roman" w:eastAsia="Times New Roman" w:hAnsi="Times New Roman"/>
          <w:i/>
          <w:color w:val="000000"/>
          <w:sz w:val="22"/>
          <w:szCs w:val="22"/>
        </w:rPr>
        <w:tab/>
        <w:t>Sixth International Symposium on Tilapia in Aquaculture,</w:t>
      </w:r>
      <w:r w:rsidRPr="00DF613C">
        <w:rPr>
          <w:rFonts w:ascii="Times New Roman" w:eastAsia="Times New Roman" w:hAnsi="Times New Roman"/>
          <w:color w:val="000000"/>
          <w:sz w:val="22"/>
          <w:szCs w:val="22"/>
        </w:rPr>
        <w:t xml:space="preserve"> R. Bolivar, G. Mair, and </w:t>
      </w:r>
      <w:r w:rsidRPr="00DF613C">
        <w:rPr>
          <w:rFonts w:ascii="Times New Roman" w:eastAsia="Times New Roman" w:hAnsi="Times New Roman"/>
          <w:color w:val="000000"/>
          <w:sz w:val="22"/>
          <w:szCs w:val="22"/>
        </w:rPr>
        <w:tab/>
        <w:t xml:space="preserve">K. </w:t>
      </w:r>
      <w:r w:rsidRPr="00DF613C">
        <w:rPr>
          <w:rFonts w:ascii="Times New Roman" w:eastAsia="Times New Roman" w:hAnsi="Times New Roman"/>
          <w:color w:val="000000"/>
          <w:sz w:val="22"/>
          <w:szCs w:val="22"/>
        </w:rPr>
        <w:tab/>
        <w:t xml:space="preserve">Fitzsimmons, Eds. Manila, </w:t>
      </w:r>
      <w:r w:rsidRPr="00DF613C">
        <w:rPr>
          <w:rFonts w:ascii="Times New Roman" w:eastAsia="Times New Roman" w:hAnsi="Times New Roman"/>
          <w:color w:val="000000"/>
          <w:sz w:val="22"/>
          <w:szCs w:val="22"/>
        </w:rPr>
        <w:lastRenderedPageBreak/>
        <w:t>Philippines, BFAR, Philippines pp.487-499.</w:t>
      </w:r>
    </w:p>
    <w:p w14:paraId="3A49AD2D"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Ellis T, North B, Scott A P, Bromage N R, Porter M and Gadd D (2002). The relationships between stocking density and welfare in farmed Rainbow trout. </w:t>
      </w:r>
      <w:r w:rsidRPr="00DF613C">
        <w:rPr>
          <w:rFonts w:ascii="Times New Roman" w:eastAsia="Times New Roman" w:hAnsi="Times New Roman"/>
          <w:i/>
          <w:color w:val="000000"/>
          <w:sz w:val="22"/>
          <w:szCs w:val="22"/>
          <w:shd w:val="clear" w:color="auto" w:fill="FFFFFF"/>
        </w:rPr>
        <w:t>Journal of fish biology</w:t>
      </w:r>
      <w:r w:rsidRPr="00DF613C">
        <w:rPr>
          <w:rFonts w:ascii="Times New Roman" w:eastAsia="Times New Roman" w:hAnsi="Times New Roman"/>
          <w:color w:val="000000"/>
          <w:sz w:val="22"/>
          <w:szCs w:val="22"/>
          <w:shd w:val="clear" w:color="auto" w:fill="FFFFFF"/>
        </w:rPr>
        <w:t>, 61(3): 493-531.</w:t>
      </w:r>
    </w:p>
    <w:p w14:paraId="37857070"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El-Sayed A F M (2002). Effects of stocking density and feeding levels on growth and feed efficiency of Nile tilapia (</w:t>
      </w:r>
      <w:r w:rsidRPr="00DF613C">
        <w:rPr>
          <w:rFonts w:ascii="Times New Roman" w:eastAsia="Times New Roman" w:hAnsi="Times New Roman"/>
          <w:i/>
          <w:iCs/>
          <w:color w:val="000000"/>
          <w:sz w:val="22"/>
          <w:szCs w:val="22"/>
        </w:rPr>
        <w:t xml:space="preserve">O.niloticus </w:t>
      </w:r>
      <w:r w:rsidRPr="00DF613C">
        <w:rPr>
          <w:rFonts w:ascii="Times New Roman" w:eastAsia="Times New Roman" w:hAnsi="Times New Roman"/>
          <w:color w:val="000000"/>
          <w:sz w:val="22"/>
          <w:szCs w:val="22"/>
        </w:rPr>
        <w:t>L.) fry.</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i/>
          <w:color w:val="000000"/>
          <w:sz w:val="22"/>
          <w:szCs w:val="22"/>
        </w:rPr>
        <w:t xml:space="preserve">Aquaculture Research </w:t>
      </w:r>
      <w:r w:rsidRPr="00DF613C">
        <w:rPr>
          <w:rFonts w:ascii="Times New Roman" w:eastAsia="Times New Roman" w:hAnsi="Times New Roman"/>
          <w:color w:val="000000"/>
          <w:sz w:val="22"/>
          <w:szCs w:val="22"/>
        </w:rPr>
        <w:t>33(8), 621-626.</w:t>
      </w:r>
    </w:p>
    <w:p w14:paraId="15375168"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 xml:space="preserve">Erkie Asmare, Brehan Muhamed and Haimanot Mulugeta. (2019). Assessment of integrated </w:t>
      </w:r>
      <w:r w:rsidRPr="00DF613C">
        <w:rPr>
          <w:rFonts w:ascii="Times New Roman" w:eastAsia="Times New Roman" w:hAnsi="Times New Roman"/>
          <w:color w:val="000000"/>
          <w:sz w:val="22"/>
          <w:szCs w:val="22"/>
        </w:rPr>
        <w:tab/>
        <w:t>aquaculture intervention system in Amhara region, Ethiopia.</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i/>
          <w:color w:val="000000"/>
          <w:sz w:val="22"/>
          <w:szCs w:val="22"/>
        </w:rPr>
        <w:t>Ethiopian Journal of Economics,</w:t>
      </w:r>
      <w:r w:rsidRPr="00DF613C">
        <w:rPr>
          <w:rFonts w:ascii="Times New Roman" w:eastAsia="Times New Roman" w:hAnsi="Times New Roman"/>
          <w:color w:val="000000"/>
          <w:sz w:val="22"/>
          <w:szCs w:val="22"/>
        </w:rPr>
        <w:t xml:space="preserve"> 28(2),1-26</w:t>
      </w:r>
    </w:p>
    <w:p w14:paraId="063AB8A9"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Garcia F, Romera D M, Gozi K S, Onaka E M, Fonseca F S, Schalch S. H and Portella M C (2013). Stocking density of Nile tilapia in cages placed in a hydroelectric </w:t>
      </w:r>
      <w:r w:rsidRPr="00DF613C">
        <w:rPr>
          <w:rFonts w:ascii="Times New Roman" w:eastAsia="Times New Roman" w:hAnsi="Times New Roman"/>
          <w:color w:val="000000"/>
          <w:sz w:val="22"/>
          <w:szCs w:val="22"/>
          <w:shd w:val="clear" w:color="auto" w:fill="FFFFFF"/>
        </w:rPr>
        <w:tab/>
        <w:t>reservoir. </w:t>
      </w:r>
      <w:r w:rsidRPr="00DF613C">
        <w:rPr>
          <w:rFonts w:ascii="Times New Roman" w:eastAsia="Times New Roman" w:hAnsi="Times New Roman"/>
          <w:i/>
          <w:color w:val="000000"/>
          <w:sz w:val="22"/>
          <w:szCs w:val="22"/>
          <w:shd w:val="clear" w:color="auto" w:fill="FFFFFF"/>
        </w:rPr>
        <w:t>Aquaculture</w:t>
      </w:r>
      <w:r w:rsidRPr="00DF613C">
        <w:rPr>
          <w:rFonts w:ascii="Times New Roman" w:eastAsia="Times New Roman" w:hAnsi="Times New Roman"/>
          <w:color w:val="000000"/>
          <w:sz w:val="22"/>
          <w:szCs w:val="22"/>
          <w:shd w:val="clear" w:color="auto" w:fill="FFFFFF"/>
        </w:rPr>
        <w:t>, 410, 51-56.</w:t>
      </w:r>
    </w:p>
    <w:p w14:paraId="15CACF83"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Gullian-Klanian M and Arámburu-Adame C (2013). Performance of Nile tilapia </w:t>
      </w:r>
      <w:r w:rsidRPr="00DF613C">
        <w:rPr>
          <w:rFonts w:ascii="Times New Roman" w:eastAsia="Times New Roman" w:hAnsi="Times New Roman"/>
          <w:i/>
          <w:iCs/>
          <w:color w:val="000000"/>
          <w:sz w:val="22"/>
          <w:szCs w:val="22"/>
          <w:shd w:val="clear" w:color="auto" w:fill="FFFFFF"/>
        </w:rPr>
        <w:t>O. niloticus</w:t>
      </w:r>
      <w:r w:rsidRPr="00DF613C">
        <w:rPr>
          <w:rFonts w:ascii="Times New Roman" w:eastAsia="Times New Roman" w:hAnsi="Times New Roman"/>
          <w:color w:val="000000"/>
          <w:sz w:val="22"/>
          <w:szCs w:val="22"/>
          <w:shd w:val="clear" w:color="auto" w:fill="FFFFFF"/>
        </w:rPr>
        <w:t xml:space="preserve"> fingerlings in a hyper-intensive recirculating aquaculture system with low water exchange. </w:t>
      </w:r>
      <w:r w:rsidRPr="00DF613C">
        <w:rPr>
          <w:rFonts w:ascii="Times New Roman" w:eastAsia="Times New Roman" w:hAnsi="Times New Roman"/>
          <w:i/>
          <w:color w:val="000000"/>
          <w:sz w:val="22"/>
          <w:szCs w:val="22"/>
          <w:shd w:val="clear" w:color="auto" w:fill="FFFFFF"/>
        </w:rPr>
        <w:t xml:space="preserve">Latin American Journal of Aquatic </w:t>
      </w:r>
      <w:r w:rsidRPr="00DF613C">
        <w:rPr>
          <w:rFonts w:ascii="Times New Roman" w:eastAsia="Times New Roman" w:hAnsi="Times New Roman"/>
          <w:i/>
          <w:color w:val="000000"/>
          <w:sz w:val="22"/>
          <w:szCs w:val="22"/>
          <w:shd w:val="clear" w:color="auto" w:fill="FFFFFF"/>
        </w:rPr>
        <w:tab/>
        <w:t>Research</w:t>
      </w:r>
      <w:r w:rsidRPr="00DF613C">
        <w:rPr>
          <w:rFonts w:ascii="Times New Roman" w:eastAsia="Times New Roman" w:hAnsi="Times New Roman"/>
          <w:color w:val="000000"/>
          <w:sz w:val="22"/>
          <w:szCs w:val="22"/>
          <w:shd w:val="clear" w:color="auto" w:fill="FFFFFF"/>
        </w:rPr>
        <w:t>, 41(1),150-</w:t>
      </w:r>
      <w:r w:rsidRPr="00DF613C">
        <w:rPr>
          <w:rFonts w:ascii="Times New Roman" w:eastAsia="Times New Roman" w:hAnsi="Times New Roman"/>
          <w:color w:val="000000"/>
          <w:sz w:val="22"/>
          <w:szCs w:val="22"/>
          <w:shd w:val="clear" w:color="auto" w:fill="FFFFFF"/>
        </w:rPr>
        <w:tab/>
        <w:t>162.</w:t>
      </w:r>
    </w:p>
    <w:p w14:paraId="20879D33"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Hasan S J, Mian S, Rashid A H and Rahmatullah S M (2010). Effects of stocking density on growth and production of GIFT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i/>
          <w:color w:val="000000"/>
          <w:sz w:val="22"/>
          <w:szCs w:val="22"/>
        </w:rPr>
        <w:t>Fish Research</w:t>
      </w:r>
      <w:r w:rsidRPr="00DF613C">
        <w:rPr>
          <w:rFonts w:ascii="Times New Roman" w:eastAsia="Times New Roman" w:hAnsi="Times New Roman"/>
          <w:color w:val="000000"/>
          <w:sz w:val="22"/>
          <w:szCs w:val="22"/>
        </w:rPr>
        <w:t>,</w:t>
      </w:r>
      <w:r w:rsidRPr="00DF613C">
        <w:rPr>
          <w:rFonts w:ascii="Times New Roman" w:eastAsia="Times New Roman" w:hAnsi="Times New Roman"/>
          <w:i/>
          <w:iCs/>
          <w:color w:val="000000"/>
          <w:sz w:val="22"/>
          <w:szCs w:val="22"/>
        </w:rPr>
        <w:t xml:space="preserve"> </w:t>
      </w:r>
      <w:r w:rsidRPr="00DF613C">
        <w:rPr>
          <w:rFonts w:ascii="Times New Roman" w:eastAsia="Times New Roman" w:hAnsi="Times New Roman"/>
          <w:color w:val="000000"/>
          <w:sz w:val="22"/>
          <w:szCs w:val="22"/>
        </w:rPr>
        <w:t>14(1-2), 45-53.</w:t>
      </w:r>
    </w:p>
    <w:p w14:paraId="0DA66162"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Herrera L C (2015). The effect of stocking density on the growth rate, survival, and yield of </w:t>
      </w:r>
      <w:r w:rsidRPr="00DF613C">
        <w:rPr>
          <w:rFonts w:ascii="Times New Roman" w:eastAsia="Times New Roman" w:hAnsi="Times New Roman"/>
          <w:color w:val="000000"/>
          <w:sz w:val="22"/>
          <w:szCs w:val="22"/>
          <w:shd w:val="clear" w:color="auto" w:fill="FFFFFF"/>
        </w:rPr>
        <w:tab/>
        <w:t xml:space="preserve">GIFT </w:t>
      </w:r>
      <w:r w:rsidRPr="00DF613C">
        <w:rPr>
          <w:rFonts w:ascii="Times New Roman" w:eastAsia="Times New Roman" w:hAnsi="Times New Roman"/>
          <w:color w:val="000000"/>
          <w:sz w:val="22"/>
          <w:szCs w:val="22"/>
          <w:shd w:val="clear" w:color="auto" w:fill="FFFFFF"/>
        </w:rPr>
        <w:tab/>
        <w:t>Tilapia (</w:t>
      </w:r>
      <w:r w:rsidRPr="00DF613C">
        <w:rPr>
          <w:rFonts w:ascii="Times New Roman" w:eastAsia="Times New Roman" w:hAnsi="Times New Roman"/>
          <w:i/>
          <w:iCs/>
          <w:color w:val="000000"/>
          <w:sz w:val="22"/>
          <w:szCs w:val="22"/>
          <w:shd w:val="clear" w:color="auto" w:fill="FFFFFF"/>
        </w:rPr>
        <w:t>O. niloticus</w:t>
      </w:r>
      <w:r w:rsidRPr="00DF613C">
        <w:rPr>
          <w:rFonts w:ascii="Times New Roman" w:eastAsia="Times New Roman" w:hAnsi="Times New Roman"/>
          <w:color w:val="000000"/>
          <w:sz w:val="22"/>
          <w:szCs w:val="22"/>
          <w:shd w:val="clear" w:color="auto" w:fill="FFFFFF"/>
        </w:rPr>
        <w:t xml:space="preserve">) in Cuba: Case study of fish farm La Juventud. United </w:t>
      </w:r>
      <w:r w:rsidRPr="00DF613C">
        <w:rPr>
          <w:rFonts w:ascii="Times New Roman" w:eastAsia="Times New Roman" w:hAnsi="Times New Roman"/>
          <w:color w:val="000000"/>
          <w:sz w:val="22"/>
          <w:szCs w:val="22"/>
          <w:shd w:val="clear" w:color="auto" w:fill="FFFFFF"/>
        </w:rPr>
        <w:tab/>
        <w:t>Nations University Fisheries Training Program, Iceland. Final Project, 1-29.</w:t>
      </w:r>
      <w:r w:rsidRPr="00DF613C">
        <w:rPr>
          <w:rFonts w:ascii="Times New Roman" w:eastAsia="Times New Roman" w:hAnsi="Times New Roman"/>
          <w:color w:val="000000"/>
          <w:sz w:val="22"/>
          <w:szCs w:val="22"/>
        </w:rPr>
        <w:t> </w:t>
      </w:r>
    </w:p>
    <w:p w14:paraId="42F29463"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Islam M A, Das D R, Khalequzzaman S M, Kamal D Halim K A (2006). Extensive culture of red tilapia with four stocking densities at Beel Kodalia, Bagerhat, </w:t>
      </w:r>
      <w:r w:rsidRPr="00DF613C">
        <w:rPr>
          <w:rFonts w:ascii="Times New Roman" w:eastAsia="Times New Roman" w:hAnsi="Times New Roman"/>
          <w:color w:val="000000"/>
          <w:sz w:val="22"/>
          <w:szCs w:val="22"/>
        </w:rPr>
        <w:t>Pakistan</w:t>
      </w:r>
      <w:r w:rsidRPr="00DF613C">
        <w:rPr>
          <w:rFonts w:ascii="Times New Roman" w:eastAsia="Times New Roman" w:hAnsi="Times New Roman"/>
          <w:color w:val="000000"/>
          <w:sz w:val="22"/>
          <w:szCs w:val="22"/>
          <w:shd w:val="clear" w:color="auto" w:fill="FFFFFF"/>
        </w:rPr>
        <w:t xml:space="preserve"> Bangladesh. </w:t>
      </w:r>
      <w:r w:rsidRPr="00DF613C">
        <w:rPr>
          <w:rFonts w:ascii="Times New Roman" w:eastAsia="Times New Roman" w:hAnsi="Times New Roman"/>
          <w:i/>
          <w:color w:val="000000"/>
          <w:sz w:val="22"/>
          <w:szCs w:val="22"/>
        </w:rPr>
        <w:t>Journal of Biological Sciences</w:t>
      </w:r>
      <w:r w:rsidRPr="00DF613C">
        <w:rPr>
          <w:rFonts w:ascii="Times New Roman" w:eastAsia="Times New Roman" w:hAnsi="Times New Roman"/>
          <w:color w:val="000000"/>
          <w:sz w:val="22"/>
          <w:szCs w:val="22"/>
        </w:rPr>
        <w:t>, 9(10), 1965-1969.</w:t>
      </w:r>
      <w:r w:rsidRPr="00DF613C">
        <w:rPr>
          <w:rFonts w:ascii="Times New Roman" w:eastAsia="Times New Roman" w:hAnsi="Times New Roman"/>
          <w:color w:val="000000"/>
          <w:sz w:val="22"/>
          <w:szCs w:val="22"/>
        </w:rPr>
        <w:tab/>
      </w:r>
    </w:p>
    <w:p w14:paraId="6F33851C"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 xml:space="preserve">Islam M S and Begum N (2019). All male Nile tilapia </w:t>
      </w:r>
      <w:r w:rsidRPr="00DF613C">
        <w:rPr>
          <w:rFonts w:ascii="Times New Roman" w:eastAsia="Times New Roman" w:hAnsi="Times New Roman"/>
          <w:i/>
          <w:iCs/>
          <w:color w:val="000000"/>
          <w:sz w:val="22"/>
          <w:szCs w:val="22"/>
        </w:rPr>
        <w:t xml:space="preserve">O. niloticus </w:t>
      </w:r>
      <w:r w:rsidRPr="00DF613C">
        <w:rPr>
          <w:rFonts w:ascii="Times New Roman" w:eastAsia="Times New Roman" w:hAnsi="Times New Roman"/>
          <w:color w:val="000000"/>
          <w:sz w:val="22"/>
          <w:szCs w:val="22"/>
        </w:rPr>
        <w:t xml:space="preserve">fry nursing in net cages </w:t>
      </w:r>
      <w:r w:rsidRPr="00DF613C">
        <w:rPr>
          <w:rFonts w:ascii="Times New Roman" w:eastAsia="Times New Roman" w:hAnsi="Times New Roman"/>
          <w:color w:val="000000"/>
          <w:sz w:val="22"/>
          <w:szCs w:val="22"/>
        </w:rPr>
        <w:tab/>
        <w:t xml:space="preserve">at </w:t>
      </w:r>
      <w:r w:rsidRPr="00DF613C">
        <w:rPr>
          <w:rFonts w:ascii="Times New Roman" w:eastAsia="Times New Roman" w:hAnsi="Times New Roman"/>
          <w:i/>
          <w:iCs/>
          <w:color w:val="000000"/>
          <w:sz w:val="22"/>
          <w:szCs w:val="22"/>
        </w:rPr>
        <w:t xml:space="preserve">haor </w:t>
      </w:r>
      <w:r w:rsidRPr="00DF613C">
        <w:rPr>
          <w:rFonts w:ascii="Times New Roman" w:eastAsia="Times New Roman" w:hAnsi="Times New Roman"/>
          <w:i/>
          <w:iCs/>
          <w:color w:val="000000"/>
          <w:sz w:val="22"/>
          <w:szCs w:val="22"/>
        </w:rPr>
        <w:tab/>
      </w:r>
      <w:r w:rsidRPr="00DF613C">
        <w:rPr>
          <w:rFonts w:ascii="Times New Roman" w:eastAsia="Times New Roman" w:hAnsi="Times New Roman"/>
          <w:color w:val="000000"/>
          <w:sz w:val="22"/>
          <w:szCs w:val="22"/>
        </w:rPr>
        <w:t xml:space="preserve">of sunamganj, </w:t>
      </w:r>
      <w:r w:rsidRPr="00DF613C">
        <w:rPr>
          <w:rFonts w:ascii="Times New Roman" w:eastAsia="Times New Roman" w:hAnsi="Times New Roman"/>
          <w:i/>
          <w:color w:val="000000"/>
          <w:sz w:val="22"/>
          <w:szCs w:val="22"/>
        </w:rPr>
        <w:t>Bangladesh,</w:t>
      </w:r>
      <w:r w:rsidRPr="00DF613C">
        <w:rPr>
          <w:rFonts w:ascii="Times New Roman" w:eastAsia="Times New Roman" w:hAnsi="Times New Roman"/>
          <w:color w:val="000000"/>
          <w:sz w:val="22"/>
          <w:szCs w:val="22"/>
        </w:rPr>
        <w:t xml:space="preserve"> 47(1),149-158.</w:t>
      </w:r>
    </w:p>
    <w:p w14:paraId="268679A3"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Jha P and Barat S (2005). The effect of stocking density on growth, survival rate, and the </w:t>
      </w:r>
      <w:r w:rsidRPr="00DF613C">
        <w:rPr>
          <w:rFonts w:ascii="Times New Roman" w:eastAsia="Times New Roman" w:hAnsi="Times New Roman"/>
          <w:color w:val="000000"/>
          <w:sz w:val="22"/>
          <w:szCs w:val="22"/>
          <w:shd w:val="clear" w:color="auto" w:fill="FFFFFF"/>
        </w:rPr>
        <w:tab/>
        <w:t xml:space="preserve">number of marketable fish produced by koi carp, Cyprinus carpiovr. koi in </w:t>
      </w:r>
      <w:r w:rsidRPr="00DF613C">
        <w:rPr>
          <w:rFonts w:ascii="Times New Roman" w:eastAsia="Times New Roman" w:hAnsi="Times New Roman"/>
          <w:color w:val="000000"/>
          <w:sz w:val="22"/>
          <w:szCs w:val="22"/>
          <w:shd w:val="clear" w:color="auto" w:fill="FFFFFF"/>
        </w:rPr>
        <w:tab/>
        <w:t>concrete tanks. </w:t>
      </w:r>
      <w:r w:rsidRPr="00DF613C">
        <w:rPr>
          <w:rFonts w:ascii="Times New Roman" w:eastAsia="Times New Roman" w:hAnsi="Times New Roman"/>
          <w:i/>
          <w:color w:val="000000"/>
          <w:sz w:val="22"/>
          <w:szCs w:val="22"/>
          <w:shd w:val="clear" w:color="auto" w:fill="FFFFFF"/>
        </w:rPr>
        <w:t>Journal of Applied Aquaculture</w:t>
      </w:r>
      <w:r w:rsidRPr="00DF613C">
        <w:rPr>
          <w:rFonts w:ascii="Times New Roman" w:eastAsia="Times New Roman" w:hAnsi="Times New Roman"/>
          <w:color w:val="000000"/>
          <w:sz w:val="22"/>
          <w:szCs w:val="22"/>
          <w:shd w:val="clear" w:color="auto" w:fill="FFFFFF"/>
        </w:rPr>
        <w:t>, 17(3), 89-102.</w:t>
      </w:r>
    </w:p>
    <w:p w14:paraId="0FF51C70"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Khattab Y, Abdel-Tawwab M and H Ahmad M (2001). Effect of protein levels and stocking density on growth performance, survival rate, feed utilization, and body composition of Nile tilapia fry (</w:t>
      </w:r>
      <w:r w:rsidRPr="00DF613C">
        <w:rPr>
          <w:rFonts w:ascii="Times New Roman" w:eastAsia="Times New Roman" w:hAnsi="Times New Roman"/>
          <w:i/>
          <w:iCs/>
          <w:color w:val="000000"/>
          <w:sz w:val="22"/>
          <w:szCs w:val="22"/>
          <w:shd w:val="clear" w:color="auto" w:fill="FFFFFF"/>
        </w:rPr>
        <w:t>O. niloticus</w:t>
      </w:r>
      <w:r w:rsidRPr="00DF613C">
        <w:rPr>
          <w:rFonts w:ascii="Times New Roman" w:eastAsia="Times New Roman" w:hAnsi="Times New Roman"/>
          <w:color w:val="000000"/>
          <w:sz w:val="22"/>
          <w:szCs w:val="22"/>
          <w:shd w:val="clear" w:color="auto" w:fill="FFFFFF"/>
        </w:rPr>
        <w:t xml:space="preserve"> L.). </w:t>
      </w:r>
      <w:r w:rsidRPr="00DF613C">
        <w:rPr>
          <w:rFonts w:ascii="Times New Roman" w:eastAsia="Times New Roman" w:hAnsi="Times New Roman"/>
          <w:i/>
          <w:color w:val="000000"/>
          <w:sz w:val="22"/>
          <w:szCs w:val="22"/>
          <w:shd w:val="clear" w:color="auto" w:fill="FFFFFF"/>
        </w:rPr>
        <w:t>Egyptian Journal of Aquatic Biology and Fisheries</w:t>
      </w:r>
      <w:r w:rsidRPr="00DF613C">
        <w:rPr>
          <w:rFonts w:ascii="Times New Roman" w:eastAsia="Times New Roman" w:hAnsi="Times New Roman"/>
          <w:color w:val="000000"/>
          <w:sz w:val="22"/>
          <w:szCs w:val="22"/>
          <w:shd w:val="clear" w:color="auto" w:fill="FFFFFF"/>
        </w:rPr>
        <w:t>, </w:t>
      </w:r>
      <w:r w:rsidRPr="00DF613C">
        <w:rPr>
          <w:rFonts w:ascii="Times New Roman" w:eastAsia="Times New Roman" w:hAnsi="Times New Roman"/>
          <w:iCs/>
          <w:color w:val="000000"/>
          <w:sz w:val="22"/>
          <w:szCs w:val="22"/>
          <w:shd w:val="clear" w:color="auto" w:fill="FFFFFF"/>
        </w:rPr>
        <w:t>5</w:t>
      </w:r>
      <w:r w:rsidRPr="00DF613C">
        <w:rPr>
          <w:rFonts w:ascii="Times New Roman" w:eastAsia="Times New Roman" w:hAnsi="Times New Roman"/>
          <w:color w:val="000000"/>
          <w:sz w:val="22"/>
          <w:szCs w:val="22"/>
          <w:shd w:val="clear" w:color="auto" w:fill="FFFFFF"/>
        </w:rPr>
        <w:t>(3),195-212.</w:t>
      </w:r>
    </w:p>
    <w:p w14:paraId="4950AD55"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Lema Abera and Zenebe Tadesse (2009). The potential and prospect of aquaculture </w:t>
      </w:r>
      <w:r w:rsidRPr="00DF613C">
        <w:rPr>
          <w:rFonts w:ascii="Times New Roman" w:eastAsia="Times New Roman" w:hAnsi="Times New Roman"/>
          <w:color w:val="000000"/>
          <w:sz w:val="22"/>
          <w:szCs w:val="22"/>
          <w:shd w:val="clear" w:color="auto" w:fill="FFFFFF"/>
        </w:rPr>
        <w:tab/>
        <w:t xml:space="preserve">development </w:t>
      </w:r>
      <w:r w:rsidRPr="00DF613C">
        <w:rPr>
          <w:rFonts w:ascii="Times New Roman" w:eastAsia="Times New Roman" w:hAnsi="Times New Roman"/>
          <w:color w:val="000000"/>
          <w:sz w:val="22"/>
          <w:szCs w:val="22"/>
          <w:shd w:val="clear" w:color="auto" w:fill="FFFFFF"/>
        </w:rPr>
        <w:tab/>
        <w:t xml:space="preserve">in Ethiopia. </w:t>
      </w:r>
      <w:r w:rsidRPr="00DF613C">
        <w:rPr>
          <w:rFonts w:ascii="Times New Roman" w:eastAsia="Times New Roman" w:hAnsi="Times New Roman"/>
          <w:i/>
          <w:color w:val="000000"/>
          <w:sz w:val="22"/>
          <w:szCs w:val="22"/>
          <w:shd w:val="clear" w:color="auto" w:fill="FFFFFF"/>
        </w:rPr>
        <w:t>In Proceedings of the 16</w:t>
      </w:r>
      <w:r w:rsidRPr="00DF613C">
        <w:rPr>
          <w:rFonts w:ascii="Times New Roman" w:eastAsia="Times New Roman" w:hAnsi="Times New Roman"/>
          <w:i/>
          <w:color w:val="000000"/>
          <w:sz w:val="22"/>
          <w:szCs w:val="22"/>
          <w:shd w:val="clear" w:color="auto" w:fill="FFFFFF"/>
          <w:vertAlign w:val="superscript"/>
        </w:rPr>
        <w:t>th</w:t>
      </w:r>
      <w:r w:rsidRPr="00DF613C">
        <w:rPr>
          <w:rFonts w:ascii="Times New Roman" w:eastAsia="Times New Roman" w:hAnsi="Times New Roman"/>
          <w:i/>
          <w:color w:val="000000"/>
          <w:sz w:val="22"/>
          <w:szCs w:val="22"/>
          <w:shd w:val="clear" w:color="auto" w:fill="FFFFFF"/>
        </w:rPr>
        <w:t xml:space="preserve"> Annual Conference of the </w:t>
      </w:r>
      <w:r w:rsidRPr="00DF613C">
        <w:rPr>
          <w:rFonts w:ascii="Times New Roman" w:eastAsia="Times New Roman" w:hAnsi="Times New Roman"/>
          <w:i/>
          <w:color w:val="000000"/>
          <w:sz w:val="22"/>
          <w:szCs w:val="22"/>
          <w:shd w:val="clear" w:color="auto" w:fill="FFFFFF"/>
        </w:rPr>
        <w:tab/>
        <w:t xml:space="preserve">Ethiopian Society of </w:t>
      </w:r>
      <w:r w:rsidRPr="00DF613C">
        <w:rPr>
          <w:rFonts w:ascii="Times New Roman" w:eastAsia="Times New Roman" w:hAnsi="Times New Roman"/>
          <w:i/>
          <w:color w:val="000000"/>
          <w:sz w:val="22"/>
          <w:szCs w:val="22"/>
          <w:shd w:val="clear" w:color="auto" w:fill="FFFFFF"/>
        </w:rPr>
        <w:tab/>
        <w:t>Animal Production (ESAP)</w:t>
      </w:r>
      <w:r w:rsidRPr="00DF613C">
        <w:rPr>
          <w:rFonts w:ascii="Times New Roman" w:eastAsia="Times New Roman" w:hAnsi="Times New Roman"/>
          <w:color w:val="000000"/>
          <w:sz w:val="22"/>
          <w:szCs w:val="22"/>
          <w:shd w:val="clear" w:color="auto" w:fill="FFFFFF"/>
        </w:rPr>
        <w:t xml:space="preserve"> held in Addis Ababa, Ethiopia, </w:t>
      </w:r>
      <w:r w:rsidRPr="00DF613C">
        <w:rPr>
          <w:rFonts w:ascii="Times New Roman" w:eastAsia="Times New Roman" w:hAnsi="Times New Roman"/>
          <w:color w:val="000000"/>
          <w:sz w:val="22"/>
          <w:szCs w:val="22"/>
          <w:shd w:val="clear" w:color="auto" w:fill="FFFFFF"/>
        </w:rPr>
        <w:tab/>
        <w:t>October (Vol. 8).</w:t>
      </w:r>
    </w:p>
    <w:p w14:paraId="37167C02"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Mulugeta Wakjira, Taye Tolemariam, Kim J D and Kim K R (2013). Aquaculture development </w:t>
      </w:r>
      <w:r w:rsidRPr="00DF613C">
        <w:rPr>
          <w:rFonts w:ascii="Times New Roman" w:eastAsia="Times New Roman" w:hAnsi="Times New Roman"/>
          <w:color w:val="000000"/>
          <w:sz w:val="22"/>
          <w:szCs w:val="22"/>
          <w:shd w:val="clear" w:color="auto" w:fill="FFFFFF"/>
        </w:rPr>
        <w:tab/>
        <w:t>in Ethiopia: Review on potential and strategy. </w:t>
      </w:r>
      <w:r w:rsidRPr="00DF613C">
        <w:rPr>
          <w:rFonts w:ascii="Times New Roman" w:eastAsia="Times New Roman" w:hAnsi="Times New Roman"/>
          <w:i/>
          <w:color w:val="000000"/>
          <w:sz w:val="22"/>
          <w:szCs w:val="22"/>
          <w:shd w:val="clear" w:color="auto" w:fill="FFFFFF"/>
        </w:rPr>
        <w:t xml:space="preserve">Journal of Agricultural, Life and </w:t>
      </w:r>
      <w:r w:rsidRPr="00DF613C">
        <w:rPr>
          <w:rFonts w:ascii="Times New Roman" w:eastAsia="Times New Roman" w:hAnsi="Times New Roman"/>
          <w:i/>
          <w:color w:val="000000"/>
          <w:sz w:val="22"/>
          <w:szCs w:val="22"/>
          <w:shd w:val="clear" w:color="auto" w:fill="FFFFFF"/>
        </w:rPr>
        <w:tab/>
        <w:t>Environmental Sciences,</w:t>
      </w:r>
      <w:r w:rsidRPr="00DF613C">
        <w:rPr>
          <w:rFonts w:ascii="Times New Roman" w:eastAsia="Times New Roman" w:hAnsi="Times New Roman"/>
          <w:color w:val="000000"/>
          <w:sz w:val="22"/>
          <w:szCs w:val="22"/>
          <w:shd w:val="clear" w:color="auto" w:fill="FFFFFF"/>
        </w:rPr>
        <w:t> 25(3), 20-25.</w:t>
      </w:r>
    </w:p>
    <w:p w14:paraId="74A0224E"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Nahid S A A, Karim E, Hasan M R, Shahabuddin A M and Bhuyain M A B (2012). Different farming systems and comparative advantages of tilapia over other commercial aquaculture species in Bangladesh. </w:t>
      </w:r>
      <w:r w:rsidRPr="00DF613C">
        <w:rPr>
          <w:rFonts w:ascii="Times New Roman" w:eastAsia="Times New Roman" w:hAnsi="Times New Roman"/>
          <w:i/>
          <w:color w:val="000000"/>
          <w:sz w:val="22"/>
          <w:szCs w:val="22"/>
          <w:shd w:val="clear" w:color="auto" w:fill="FFFFFF"/>
        </w:rPr>
        <w:t xml:space="preserve">Bangladesh journal of progressive </w:t>
      </w:r>
      <w:r w:rsidRPr="00DF613C">
        <w:rPr>
          <w:rFonts w:ascii="Times New Roman" w:eastAsia="Times New Roman" w:hAnsi="Times New Roman"/>
          <w:i/>
          <w:color w:val="000000"/>
          <w:sz w:val="22"/>
          <w:szCs w:val="22"/>
          <w:shd w:val="clear" w:color="auto" w:fill="FFFFFF"/>
        </w:rPr>
        <w:tab/>
        <w:t>science &amp; technology,</w:t>
      </w:r>
      <w:r w:rsidRPr="00DF613C">
        <w:rPr>
          <w:rFonts w:ascii="Times New Roman" w:eastAsia="Times New Roman" w:hAnsi="Times New Roman"/>
          <w:color w:val="000000"/>
          <w:sz w:val="22"/>
          <w:szCs w:val="22"/>
          <w:shd w:val="clear" w:color="auto" w:fill="FFFFFF"/>
        </w:rPr>
        <w:t> 10(1), 93-96.</w:t>
      </w:r>
    </w:p>
    <w:p w14:paraId="3E50F269"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Natea </w:t>
      </w:r>
      <w:r w:rsidRPr="00DF613C">
        <w:rPr>
          <w:rFonts w:ascii="Times New Roman" w:eastAsia="Times New Roman" w:hAnsi="Times New Roman"/>
          <w:color w:val="000000"/>
          <w:sz w:val="22"/>
          <w:szCs w:val="22"/>
        </w:rPr>
        <w:t>Gadisa (</w:t>
      </w:r>
      <w:r w:rsidRPr="00DF613C">
        <w:rPr>
          <w:rFonts w:ascii="Times New Roman" w:eastAsia="Times New Roman" w:hAnsi="Times New Roman"/>
          <w:color w:val="000000"/>
          <w:sz w:val="22"/>
          <w:szCs w:val="22"/>
          <w:shd w:val="clear" w:color="auto" w:fill="FFFFFF"/>
        </w:rPr>
        <w:t>2019). Aquaculture potential, status, constraints, and prospects in Ethiopia: A review. </w:t>
      </w:r>
      <w:r w:rsidRPr="00DF613C">
        <w:rPr>
          <w:rFonts w:ascii="Times New Roman" w:eastAsia="Times New Roman" w:hAnsi="Times New Roman"/>
          <w:i/>
          <w:color w:val="000000"/>
          <w:sz w:val="22"/>
          <w:szCs w:val="22"/>
          <w:shd w:val="clear" w:color="auto" w:fill="FFFFFF"/>
        </w:rPr>
        <w:t>International Journal Advanced Research</w:t>
      </w:r>
      <w:r w:rsidRPr="00DF613C">
        <w:rPr>
          <w:rFonts w:ascii="Times New Roman" w:eastAsia="Times New Roman" w:hAnsi="Times New Roman"/>
          <w:color w:val="000000"/>
          <w:sz w:val="22"/>
          <w:szCs w:val="22"/>
          <w:shd w:val="clear" w:color="auto" w:fill="FFFFFF"/>
        </w:rPr>
        <w:t>, </w:t>
      </w:r>
      <w:r w:rsidRPr="00DF613C">
        <w:rPr>
          <w:rFonts w:ascii="Times New Roman" w:eastAsia="Times New Roman" w:hAnsi="Times New Roman"/>
          <w:b/>
          <w:color w:val="000000"/>
          <w:sz w:val="22"/>
          <w:szCs w:val="22"/>
          <w:shd w:val="clear" w:color="auto" w:fill="FFFFFF"/>
        </w:rPr>
        <w:t>7</w:t>
      </w:r>
      <w:r w:rsidRPr="00DF613C">
        <w:rPr>
          <w:rFonts w:ascii="Times New Roman" w:eastAsia="Times New Roman" w:hAnsi="Times New Roman"/>
          <w:color w:val="000000"/>
          <w:sz w:val="22"/>
          <w:szCs w:val="22"/>
          <w:shd w:val="clear" w:color="auto" w:fill="FFFFFF"/>
        </w:rPr>
        <w:t>(1), 336-43.</w:t>
      </w:r>
    </w:p>
    <w:p w14:paraId="42708B86"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Opiyo M A (2010). </w:t>
      </w:r>
      <w:r w:rsidRPr="00DF613C">
        <w:rPr>
          <w:rFonts w:ascii="Times New Roman" w:eastAsia="Times New Roman" w:hAnsi="Times New Roman"/>
          <w:iCs/>
          <w:color w:val="000000"/>
          <w:sz w:val="22"/>
          <w:szCs w:val="22"/>
          <w:shd w:val="clear" w:color="auto" w:fill="FFFFFF"/>
        </w:rPr>
        <w:t xml:space="preserve">Influence of Stocking Density and Background Color on the Growth </w:t>
      </w:r>
      <w:r w:rsidRPr="00DF613C">
        <w:rPr>
          <w:rFonts w:ascii="Times New Roman" w:eastAsia="Times New Roman" w:hAnsi="Times New Roman"/>
          <w:iCs/>
          <w:color w:val="000000"/>
          <w:sz w:val="22"/>
          <w:szCs w:val="22"/>
          <w:shd w:val="clear" w:color="auto" w:fill="FFFFFF"/>
        </w:rPr>
        <w:tab/>
        <w:t xml:space="preserve">Performance and Survival of Nile Tilapia Fry </w:t>
      </w:r>
      <w:r w:rsidRPr="00DF613C">
        <w:rPr>
          <w:rFonts w:ascii="Times New Roman" w:eastAsia="Times New Roman" w:hAnsi="Times New Roman"/>
          <w:i/>
          <w:iCs/>
          <w:color w:val="000000"/>
          <w:sz w:val="22"/>
          <w:szCs w:val="22"/>
          <w:shd w:val="clear" w:color="auto" w:fill="FFFFFF"/>
        </w:rPr>
        <w:t>(Oreochromis niloticus)</w:t>
      </w:r>
      <w:r w:rsidRPr="00DF613C">
        <w:rPr>
          <w:rFonts w:ascii="Times New Roman" w:eastAsia="Times New Roman" w:hAnsi="Times New Roman"/>
          <w:color w:val="000000"/>
          <w:sz w:val="22"/>
          <w:szCs w:val="22"/>
          <w:shd w:val="clear" w:color="auto" w:fill="FFFFFF"/>
        </w:rPr>
        <w:t xml:space="preserve"> (MSc thesis, Moi </w:t>
      </w:r>
      <w:r w:rsidRPr="00DF613C">
        <w:rPr>
          <w:rFonts w:ascii="Times New Roman" w:eastAsia="Times New Roman" w:hAnsi="Times New Roman"/>
          <w:color w:val="000000"/>
          <w:sz w:val="22"/>
          <w:szCs w:val="22"/>
          <w:shd w:val="clear" w:color="auto" w:fill="FFFFFF"/>
        </w:rPr>
        <w:tab/>
        <w:t>University). </w:t>
      </w:r>
    </w:p>
    <w:p w14:paraId="72A5644D"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 xml:space="preserve">Ribera L G, Garcia S, Schwingel P R, Amaral Júnior H and Mello G L (2009). Development of Tilapia Gift </w:t>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in Different Cultivation Densities in the North Coast of Santa State Catherine. Brazil</w:t>
      </w:r>
      <w:r w:rsidRPr="00DF613C">
        <w:rPr>
          <w:rFonts w:ascii="Times New Roman" w:eastAsia="Times New Roman" w:hAnsi="Times New Roman"/>
          <w:color w:val="000000"/>
          <w:sz w:val="22"/>
          <w:szCs w:val="22"/>
          <w:u w:val="single"/>
        </w:rPr>
        <w:t>. </w:t>
      </w:r>
    </w:p>
    <w:p w14:paraId="4E05C8E5"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 xml:space="preserve">Ridha M T (2006). Comparative study of </w:t>
      </w:r>
      <w:r w:rsidRPr="00DF613C">
        <w:rPr>
          <w:rFonts w:ascii="Times New Roman" w:eastAsia="Times New Roman" w:hAnsi="Times New Roman"/>
          <w:color w:val="000000"/>
          <w:sz w:val="22"/>
          <w:szCs w:val="22"/>
        </w:rPr>
        <w:lastRenderedPageBreak/>
        <w:t xml:space="preserve">growth performance of three strains of Nile tilapia, </w:t>
      </w:r>
      <w:r w:rsidRPr="00DF613C">
        <w:rPr>
          <w:rFonts w:ascii="Times New Roman" w:eastAsia="Times New Roman" w:hAnsi="Times New Roman"/>
          <w:color w:val="000000"/>
          <w:sz w:val="22"/>
          <w:szCs w:val="22"/>
        </w:rPr>
        <w:tab/>
      </w:r>
      <w:r w:rsidRPr="00DF613C">
        <w:rPr>
          <w:rFonts w:ascii="Times New Roman" w:eastAsia="Times New Roman" w:hAnsi="Times New Roman"/>
          <w:i/>
          <w:iCs/>
          <w:color w:val="000000"/>
          <w:sz w:val="22"/>
          <w:szCs w:val="22"/>
        </w:rPr>
        <w:t>O. niloticus</w:t>
      </w:r>
      <w:r w:rsidRPr="00DF613C">
        <w:rPr>
          <w:rFonts w:ascii="Times New Roman" w:eastAsia="Times New Roman" w:hAnsi="Times New Roman"/>
          <w:color w:val="000000"/>
          <w:sz w:val="22"/>
          <w:szCs w:val="22"/>
        </w:rPr>
        <w:t xml:space="preserve">, L. at two stocking densities. </w:t>
      </w:r>
      <w:r w:rsidRPr="00DF613C">
        <w:rPr>
          <w:rFonts w:ascii="Times New Roman" w:eastAsia="Times New Roman" w:hAnsi="Times New Roman"/>
          <w:i/>
          <w:color w:val="000000"/>
          <w:sz w:val="22"/>
          <w:szCs w:val="22"/>
        </w:rPr>
        <w:t xml:space="preserve">Aquaculture </w:t>
      </w:r>
      <w:r w:rsidRPr="00DF613C">
        <w:rPr>
          <w:rFonts w:ascii="Times New Roman" w:eastAsia="Times New Roman" w:hAnsi="Times New Roman"/>
          <w:i/>
          <w:color w:val="000000"/>
          <w:sz w:val="22"/>
          <w:szCs w:val="22"/>
        </w:rPr>
        <w:t>Research</w:t>
      </w:r>
      <w:r w:rsidRPr="00DF613C">
        <w:rPr>
          <w:rFonts w:ascii="Times New Roman" w:eastAsia="Times New Roman" w:hAnsi="Times New Roman"/>
          <w:color w:val="000000"/>
          <w:sz w:val="22"/>
          <w:szCs w:val="22"/>
        </w:rPr>
        <w:t>, 37(2), 172-179.</w:t>
      </w:r>
    </w:p>
    <w:p w14:paraId="548F3EC5" w14:textId="77777777" w:rsidR="00011651" w:rsidRDefault="001356CF" w:rsidP="00360444">
      <w:pPr>
        <w:widowControl w:val="0"/>
        <w:autoSpaceDE w:val="0"/>
        <w:autoSpaceDN w:val="0"/>
        <w:ind w:left="634" w:hanging="634"/>
        <w:jc w:val="both"/>
        <w:rPr>
          <w:rFonts w:ascii="Times New Roman" w:eastAsia="Times New Roman" w:hAnsi="Times New Roman"/>
          <w:color w:val="000000"/>
          <w:sz w:val="22"/>
          <w:szCs w:val="22"/>
          <w:shd w:val="clear" w:color="auto" w:fill="FFFFFF"/>
        </w:rPr>
        <w:sectPr w:rsidR="00011651" w:rsidSect="00360444">
          <w:type w:val="continuous"/>
          <w:pgSz w:w="11907" w:h="16839" w:code="9"/>
          <w:pgMar w:top="1440" w:right="1440" w:bottom="1440" w:left="1440" w:header="720" w:footer="720" w:gutter="0"/>
          <w:cols w:num="2" w:space="720"/>
          <w:docGrid w:linePitch="360"/>
        </w:sectPr>
      </w:pPr>
      <w:r w:rsidRPr="00DF613C">
        <w:rPr>
          <w:rFonts w:ascii="Times New Roman" w:eastAsia="Times New Roman" w:hAnsi="Times New Roman"/>
          <w:color w:val="000000"/>
          <w:sz w:val="22"/>
          <w:szCs w:val="22"/>
          <w:shd w:val="clear" w:color="auto" w:fill="FFFFFF"/>
        </w:rPr>
        <w:t xml:space="preserve">Sorphea S, Lundh T, Preston T R and Borin K </w:t>
      </w:r>
    </w:p>
    <w:p w14:paraId="4EF8DAD3" w14:textId="75DA58D8"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(2010). Effect of stocking densities and feed </w:t>
      </w:r>
      <w:r w:rsidRPr="00DF613C">
        <w:rPr>
          <w:rFonts w:ascii="Times New Roman" w:eastAsia="Times New Roman" w:hAnsi="Times New Roman"/>
          <w:color w:val="000000"/>
          <w:sz w:val="22"/>
          <w:szCs w:val="22"/>
          <w:shd w:val="clear" w:color="auto" w:fill="FFFFFF"/>
        </w:rPr>
        <w:tab/>
        <w:t xml:space="preserve">supplements on the growth performance of tilapia (Oreochromis spp.) raised in ponds </w:t>
      </w:r>
      <w:r w:rsidRPr="00DF613C">
        <w:rPr>
          <w:rFonts w:ascii="Times New Roman" w:eastAsia="Times New Roman" w:hAnsi="Times New Roman"/>
          <w:color w:val="000000"/>
          <w:sz w:val="22"/>
          <w:szCs w:val="22"/>
          <w:shd w:val="clear" w:color="auto" w:fill="FFFFFF"/>
        </w:rPr>
        <w:tab/>
        <w:t xml:space="preserve">and </w:t>
      </w:r>
      <w:r w:rsidRPr="00DF613C">
        <w:rPr>
          <w:rFonts w:ascii="Times New Roman" w:eastAsia="Times New Roman" w:hAnsi="Times New Roman"/>
          <w:color w:val="000000"/>
          <w:sz w:val="22"/>
          <w:szCs w:val="22"/>
          <w:shd w:val="clear" w:color="auto" w:fill="FFFFFF"/>
        </w:rPr>
        <w:tab/>
        <w:t>in the paddy field. </w:t>
      </w:r>
      <w:r w:rsidRPr="00DF613C">
        <w:rPr>
          <w:rFonts w:ascii="Times New Roman" w:eastAsia="Times New Roman" w:hAnsi="Times New Roman"/>
          <w:i/>
          <w:iCs/>
          <w:color w:val="000000"/>
          <w:sz w:val="22"/>
          <w:szCs w:val="22"/>
          <w:shd w:val="clear" w:color="auto" w:fill="FFFFFF"/>
        </w:rPr>
        <w:t>Livestock Research for Rural Development</w:t>
      </w:r>
      <w:r w:rsidRPr="00DF613C">
        <w:rPr>
          <w:rFonts w:ascii="Times New Roman" w:eastAsia="Times New Roman" w:hAnsi="Times New Roman"/>
          <w:color w:val="000000"/>
          <w:sz w:val="22"/>
          <w:szCs w:val="22"/>
          <w:shd w:val="clear" w:color="auto" w:fill="FFFFFF"/>
        </w:rPr>
        <w:t>, </w:t>
      </w:r>
      <w:r w:rsidRPr="00DF613C">
        <w:rPr>
          <w:rFonts w:ascii="Times New Roman" w:eastAsia="Times New Roman" w:hAnsi="Times New Roman"/>
          <w:iCs/>
          <w:color w:val="000000"/>
          <w:sz w:val="22"/>
          <w:szCs w:val="22"/>
          <w:shd w:val="clear" w:color="auto" w:fill="FFFFFF"/>
        </w:rPr>
        <w:t>22</w:t>
      </w:r>
      <w:r w:rsidRPr="00DF613C">
        <w:rPr>
          <w:rFonts w:ascii="Times New Roman" w:eastAsia="Times New Roman" w:hAnsi="Times New Roman"/>
          <w:color w:val="000000"/>
          <w:sz w:val="22"/>
          <w:szCs w:val="22"/>
          <w:shd w:val="clear" w:color="auto" w:fill="FFFFFF"/>
        </w:rPr>
        <w:t>(11).</w:t>
      </w:r>
    </w:p>
    <w:p w14:paraId="3BEF9E21"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Thorarensen H and Farrell A P (2010). Comparative analysis of the biological requirements </w:t>
      </w:r>
      <w:r w:rsidRPr="00DF613C">
        <w:rPr>
          <w:rFonts w:ascii="Times New Roman" w:eastAsia="Times New Roman" w:hAnsi="Times New Roman"/>
          <w:color w:val="000000"/>
          <w:sz w:val="22"/>
          <w:szCs w:val="22"/>
          <w:shd w:val="clear" w:color="auto" w:fill="FFFFFF"/>
        </w:rPr>
        <w:tab/>
        <w:t xml:space="preserve">for </w:t>
      </w:r>
      <w:r w:rsidRPr="00DF613C">
        <w:rPr>
          <w:rFonts w:ascii="Times New Roman" w:eastAsia="Times New Roman" w:hAnsi="Times New Roman"/>
          <w:color w:val="000000"/>
          <w:sz w:val="22"/>
          <w:szCs w:val="22"/>
          <w:shd w:val="clear" w:color="auto" w:fill="FFFFFF"/>
        </w:rPr>
        <w:tab/>
        <w:t xml:space="preserve">salmonid production at a range of densities in closed-containment </w:t>
      </w:r>
      <w:r w:rsidRPr="00DF613C">
        <w:rPr>
          <w:rFonts w:ascii="Times New Roman" w:eastAsia="Times New Roman" w:hAnsi="Times New Roman"/>
          <w:color w:val="000000"/>
          <w:sz w:val="22"/>
          <w:szCs w:val="22"/>
          <w:shd w:val="clear" w:color="auto" w:fill="FFFFFF"/>
        </w:rPr>
        <w:tab/>
        <w:t>systems. </w:t>
      </w:r>
      <w:r w:rsidRPr="00DF613C">
        <w:rPr>
          <w:rFonts w:ascii="Times New Roman" w:eastAsia="Times New Roman" w:hAnsi="Times New Roman"/>
          <w:i/>
          <w:iCs/>
          <w:color w:val="000000"/>
          <w:sz w:val="22"/>
          <w:szCs w:val="22"/>
          <w:shd w:val="clear" w:color="auto" w:fill="FFFFFF"/>
        </w:rPr>
        <w:t xml:space="preserve">Evaluation of closed-containment technologies for saltwater salmon </w:t>
      </w:r>
      <w:r w:rsidRPr="00DF613C">
        <w:rPr>
          <w:rFonts w:ascii="Times New Roman" w:eastAsia="Times New Roman" w:hAnsi="Times New Roman"/>
          <w:i/>
          <w:iCs/>
          <w:color w:val="000000"/>
          <w:sz w:val="22"/>
          <w:szCs w:val="22"/>
          <w:shd w:val="clear" w:color="auto" w:fill="FFFFFF"/>
        </w:rPr>
        <w:tab/>
        <w:t>aquaculture. Ottawa (OT):</w:t>
      </w:r>
      <w:r w:rsidRPr="00DF613C">
        <w:rPr>
          <w:rFonts w:ascii="Times New Roman" w:eastAsia="Times New Roman" w:hAnsi="Times New Roman"/>
          <w:b/>
          <w:i/>
          <w:iCs/>
          <w:color w:val="000000"/>
          <w:sz w:val="22"/>
          <w:szCs w:val="22"/>
          <w:shd w:val="clear" w:color="auto" w:fill="FFFFFF"/>
        </w:rPr>
        <w:t xml:space="preserve"> </w:t>
      </w:r>
      <w:r w:rsidRPr="00DF613C">
        <w:rPr>
          <w:rFonts w:ascii="Times New Roman" w:eastAsia="Times New Roman" w:hAnsi="Times New Roman"/>
          <w:b/>
          <w:i/>
          <w:iCs/>
          <w:color w:val="000000"/>
          <w:sz w:val="22"/>
          <w:szCs w:val="22"/>
          <w:shd w:val="clear" w:color="auto" w:fill="FFFFFF"/>
        </w:rPr>
        <w:tab/>
      </w:r>
      <w:r w:rsidRPr="00DF613C">
        <w:rPr>
          <w:rFonts w:ascii="Times New Roman" w:eastAsia="Times New Roman" w:hAnsi="Times New Roman"/>
          <w:iCs/>
          <w:color w:val="000000"/>
          <w:sz w:val="22"/>
          <w:szCs w:val="22"/>
          <w:shd w:val="clear" w:color="auto" w:fill="FFFFFF"/>
        </w:rPr>
        <w:t>National Research Council of Canada</w:t>
      </w:r>
      <w:r w:rsidRPr="00DF613C">
        <w:rPr>
          <w:rFonts w:ascii="Times New Roman" w:eastAsia="Times New Roman" w:hAnsi="Times New Roman"/>
          <w:b/>
          <w:color w:val="000000"/>
          <w:sz w:val="22"/>
          <w:szCs w:val="22"/>
          <w:shd w:val="clear" w:color="auto" w:fill="FFFFFF"/>
        </w:rPr>
        <w:t>,</w:t>
      </w:r>
      <w:r w:rsidRPr="00DF613C">
        <w:rPr>
          <w:rFonts w:ascii="Times New Roman" w:eastAsia="Times New Roman" w:hAnsi="Times New Roman"/>
          <w:color w:val="000000"/>
          <w:sz w:val="22"/>
          <w:szCs w:val="22"/>
          <w:shd w:val="clear" w:color="auto" w:fill="FFFFFF"/>
        </w:rPr>
        <w:t xml:space="preserve"> pp.46-48.</w:t>
      </w:r>
    </w:p>
    <w:p w14:paraId="72922AC8" w14:textId="77777777" w:rsidR="001356CF" w:rsidRPr="00DF613C" w:rsidRDefault="001356CF" w:rsidP="00360444">
      <w:pPr>
        <w:widowControl w:val="0"/>
        <w:autoSpaceDE w:val="0"/>
        <w:autoSpaceDN w:val="0"/>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shd w:val="clear" w:color="auto" w:fill="FFFFFF"/>
        </w:rPr>
        <w:t xml:space="preserve">Yakubu A F, Ajiboye O O, Nwogu N A, Olaji </w:t>
      </w:r>
      <w:r w:rsidRPr="00DF613C">
        <w:rPr>
          <w:rFonts w:ascii="Times New Roman" w:eastAsia="Times New Roman" w:hAnsi="Times New Roman"/>
          <w:color w:val="000000"/>
          <w:sz w:val="22"/>
          <w:szCs w:val="22"/>
          <w:shd w:val="clear" w:color="auto" w:fill="FFFFFF"/>
        </w:rPr>
        <w:t>E D, Adams T E and Obule E E (2013). Effect of Stocking Density on the Growth Performance of Sex-Reversed Nile Tilapia (</w:t>
      </w:r>
      <w:r w:rsidRPr="00DF613C">
        <w:rPr>
          <w:rFonts w:ascii="Times New Roman" w:eastAsia="Times New Roman" w:hAnsi="Times New Roman"/>
          <w:i/>
          <w:iCs/>
          <w:color w:val="000000"/>
          <w:sz w:val="22"/>
          <w:szCs w:val="22"/>
          <w:shd w:val="clear" w:color="auto" w:fill="FFFFFF"/>
        </w:rPr>
        <w:t>O.niloticus</w:t>
      </w:r>
      <w:r w:rsidRPr="00DF613C">
        <w:rPr>
          <w:rFonts w:ascii="Times New Roman" w:eastAsia="Times New Roman" w:hAnsi="Times New Roman"/>
          <w:color w:val="000000"/>
          <w:sz w:val="22"/>
          <w:szCs w:val="22"/>
          <w:shd w:val="clear" w:color="auto" w:fill="FFFFFF"/>
        </w:rPr>
        <w:t>) Fingerlings Fed Unhatched Chicken Egg Diet. </w:t>
      </w:r>
      <w:r w:rsidRPr="00DF613C">
        <w:rPr>
          <w:rFonts w:ascii="Times New Roman" w:eastAsia="Times New Roman" w:hAnsi="Times New Roman"/>
          <w:i/>
          <w:color w:val="000000"/>
          <w:sz w:val="22"/>
          <w:szCs w:val="22"/>
          <w:shd w:val="clear" w:color="auto" w:fill="FFFFFF"/>
        </w:rPr>
        <w:t xml:space="preserve">World Journal of </w:t>
      </w:r>
      <w:r w:rsidRPr="00DF613C">
        <w:rPr>
          <w:rFonts w:ascii="Times New Roman" w:eastAsia="Times New Roman" w:hAnsi="Times New Roman"/>
          <w:i/>
          <w:color w:val="000000"/>
          <w:sz w:val="22"/>
          <w:szCs w:val="22"/>
          <w:shd w:val="clear" w:color="auto" w:fill="FFFFFF"/>
        </w:rPr>
        <w:tab/>
        <w:t xml:space="preserve">Fish </w:t>
      </w:r>
      <w:r w:rsidRPr="00DF613C">
        <w:rPr>
          <w:rFonts w:ascii="Times New Roman" w:eastAsia="Times New Roman" w:hAnsi="Times New Roman"/>
          <w:i/>
          <w:color w:val="000000"/>
          <w:sz w:val="22"/>
          <w:szCs w:val="22"/>
          <w:shd w:val="clear" w:color="auto" w:fill="FFFFFF"/>
        </w:rPr>
        <w:tab/>
        <w:t xml:space="preserve">and </w:t>
      </w:r>
      <w:r w:rsidRPr="00DF613C">
        <w:rPr>
          <w:rFonts w:ascii="Times New Roman" w:eastAsia="Times New Roman" w:hAnsi="Times New Roman"/>
          <w:i/>
          <w:color w:val="000000"/>
          <w:sz w:val="22"/>
          <w:szCs w:val="22"/>
          <w:shd w:val="clear" w:color="auto" w:fill="FFFFFF"/>
          <w:lang w:val="am-ET"/>
        </w:rPr>
        <w:tab/>
      </w:r>
      <w:r w:rsidRPr="00DF613C">
        <w:rPr>
          <w:rFonts w:ascii="Times New Roman" w:eastAsia="Times New Roman" w:hAnsi="Times New Roman"/>
          <w:i/>
          <w:color w:val="000000"/>
          <w:sz w:val="22"/>
          <w:szCs w:val="22"/>
          <w:shd w:val="clear" w:color="auto" w:fill="FFFFFF"/>
        </w:rPr>
        <w:t>Marine Sciences,</w:t>
      </w:r>
      <w:r w:rsidRPr="00DF613C">
        <w:rPr>
          <w:rFonts w:ascii="Times New Roman" w:eastAsia="Times New Roman" w:hAnsi="Times New Roman"/>
          <w:color w:val="000000"/>
          <w:sz w:val="22"/>
          <w:szCs w:val="22"/>
          <w:shd w:val="clear" w:color="auto" w:fill="FFFFFF"/>
        </w:rPr>
        <w:t> 5(3), 291-295.</w:t>
      </w:r>
    </w:p>
    <w:p w14:paraId="6C802FD7" w14:textId="77777777" w:rsidR="001356CF" w:rsidRPr="00DF613C" w:rsidRDefault="001356CF" w:rsidP="00360444">
      <w:pPr>
        <w:ind w:left="634" w:hanging="634"/>
        <w:jc w:val="both"/>
        <w:rPr>
          <w:rFonts w:ascii="Times New Roman" w:eastAsia="Times New Roman" w:hAnsi="Times New Roman"/>
          <w:noProof/>
          <w:sz w:val="22"/>
          <w:szCs w:val="22"/>
        </w:rPr>
      </w:pPr>
      <w:r w:rsidRPr="00DF613C">
        <w:rPr>
          <w:rFonts w:ascii="Times New Roman" w:eastAsia="Times New Roman" w:hAnsi="Times New Roman"/>
          <w:color w:val="000000"/>
          <w:sz w:val="22"/>
          <w:szCs w:val="22"/>
        </w:rPr>
        <w:t>Zenebe Tadesse, Abeba Wolde Gebriel, Mulugeta Jovani., Fekadu Tefera and Fasil Degefu</w:t>
      </w:r>
      <w:r w:rsidRPr="00DF613C">
        <w:rPr>
          <w:rFonts w:ascii="Times New Roman" w:eastAsia="Times New Roman" w:hAnsi="Times New Roman"/>
          <w:color w:val="000000"/>
          <w:sz w:val="22"/>
          <w:szCs w:val="22"/>
          <w:shd w:val="clear" w:color="auto" w:fill="FFFFFF"/>
        </w:rPr>
        <w:t xml:space="preserve"> (2012). Effect of supplementary feeding of agro-industrial by-products on </w:t>
      </w:r>
      <w:r w:rsidRPr="00DF613C">
        <w:rPr>
          <w:rFonts w:ascii="Times New Roman" w:eastAsia="Times New Roman" w:hAnsi="Times New Roman"/>
          <w:color w:val="000000"/>
          <w:sz w:val="22"/>
          <w:szCs w:val="22"/>
          <w:shd w:val="clear" w:color="auto" w:fill="FFFFFF"/>
        </w:rPr>
        <w:tab/>
        <w:t>the growth performance of Nile tilapia (</w:t>
      </w:r>
      <w:r w:rsidRPr="00DF613C">
        <w:rPr>
          <w:rFonts w:ascii="Times New Roman" w:eastAsia="Times New Roman" w:hAnsi="Times New Roman"/>
          <w:i/>
          <w:iCs/>
          <w:color w:val="000000"/>
          <w:sz w:val="22"/>
          <w:szCs w:val="22"/>
          <w:shd w:val="clear" w:color="auto" w:fill="FFFFFF"/>
        </w:rPr>
        <w:t>Oreochromis niloticus L</w:t>
      </w:r>
      <w:r w:rsidRPr="00DF613C">
        <w:rPr>
          <w:rFonts w:ascii="Times New Roman" w:eastAsia="Times New Roman" w:hAnsi="Times New Roman"/>
          <w:color w:val="000000"/>
          <w:sz w:val="22"/>
          <w:szCs w:val="22"/>
          <w:shd w:val="clear" w:color="auto" w:fill="FFFFFF"/>
        </w:rPr>
        <w:t>.) in concrete ponds. </w:t>
      </w:r>
      <w:r w:rsidRPr="00DF613C">
        <w:rPr>
          <w:rFonts w:ascii="Times New Roman" w:eastAsia="Times New Roman" w:hAnsi="Times New Roman"/>
          <w:i/>
          <w:color w:val="000000"/>
          <w:sz w:val="22"/>
          <w:szCs w:val="22"/>
          <w:shd w:val="clear" w:color="auto" w:fill="FFFFFF"/>
        </w:rPr>
        <w:t>Ethiopian</w:t>
      </w:r>
      <w:r w:rsidRPr="00DF613C">
        <w:rPr>
          <w:rFonts w:ascii="Times New Roman" w:eastAsia="Times New Roman" w:hAnsi="Times New Roman"/>
          <w:i/>
          <w:iCs/>
          <w:color w:val="000000"/>
          <w:sz w:val="22"/>
          <w:szCs w:val="22"/>
          <w:shd w:val="clear" w:color="auto" w:fill="FFFFFF"/>
        </w:rPr>
        <w:t xml:space="preserve"> </w:t>
      </w:r>
      <w:r w:rsidRPr="00DF613C">
        <w:rPr>
          <w:rFonts w:ascii="Times New Roman" w:eastAsia="Times New Roman" w:hAnsi="Times New Roman"/>
          <w:i/>
          <w:color w:val="000000"/>
          <w:sz w:val="22"/>
          <w:szCs w:val="22"/>
          <w:shd w:val="clear" w:color="auto" w:fill="FFFFFF"/>
        </w:rPr>
        <w:t>Journal of Biological Sciences</w:t>
      </w:r>
      <w:r w:rsidRPr="00DF613C">
        <w:rPr>
          <w:rFonts w:ascii="Times New Roman" w:eastAsia="Times New Roman" w:hAnsi="Times New Roman"/>
          <w:color w:val="000000"/>
          <w:sz w:val="22"/>
          <w:szCs w:val="22"/>
          <w:shd w:val="clear" w:color="auto" w:fill="FFFFFF"/>
        </w:rPr>
        <w:t>, 11(1), 29-41.</w:t>
      </w:r>
    </w:p>
    <w:p w14:paraId="29F2A2CD" w14:textId="77777777" w:rsidR="00011651" w:rsidRDefault="00011651" w:rsidP="00360444">
      <w:pPr>
        <w:jc w:val="both"/>
        <w:rPr>
          <w:rFonts w:ascii="Times New Roman" w:hAnsi="Times New Roman"/>
          <w:sz w:val="22"/>
          <w:szCs w:val="22"/>
        </w:rPr>
        <w:sectPr w:rsidR="00011651" w:rsidSect="00360444">
          <w:type w:val="continuous"/>
          <w:pgSz w:w="11907" w:h="16839" w:code="9"/>
          <w:pgMar w:top="1440" w:right="1440" w:bottom="1440" w:left="1440" w:header="720" w:footer="720" w:gutter="0"/>
          <w:cols w:num="2" w:space="720"/>
          <w:docGrid w:linePitch="360"/>
        </w:sectPr>
      </w:pPr>
    </w:p>
    <w:p w14:paraId="0CB84E9C" w14:textId="1667DF6A" w:rsidR="001356CF" w:rsidRPr="00DF613C" w:rsidRDefault="001356CF" w:rsidP="00360444">
      <w:pPr>
        <w:jc w:val="both"/>
        <w:rPr>
          <w:rFonts w:ascii="Times New Roman" w:hAnsi="Times New Roman"/>
          <w:sz w:val="22"/>
          <w:szCs w:val="22"/>
        </w:rPr>
      </w:pPr>
    </w:p>
    <w:p w14:paraId="2F76BF33" w14:textId="31F651CF" w:rsidR="004A29EF" w:rsidRPr="00DF613C" w:rsidRDefault="004A29EF" w:rsidP="00360444">
      <w:pPr>
        <w:spacing w:after="240"/>
        <w:jc w:val="both"/>
        <w:rPr>
          <w:rFonts w:ascii="Times New Roman" w:hAnsi="Times New Roman"/>
          <w:sz w:val="22"/>
          <w:szCs w:val="22"/>
        </w:rPr>
      </w:pPr>
    </w:p>
    <w:sectPr w:rsidR="004A29EF" w:rsidRPr="00DF613C" w:rsidSect="00360444">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161C3" w14:textId="77777777" w:rsidR="0074090B" w:rsidRDefault="0074090B">
      <w:r>
        <w:separator/>
      </w:r>
    </w:p>
  </w:endnote>
  <w:endnote w:type="continuationSeparator" w:id="0">
    <w:p w14:paraId="1103878A" w14:textId="77777777" w:rsidR="0074090B" w:rsidRDefault="0074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al-GreekwithMathPi">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Garamond Premr Pro">
    <w:altName w:val="Garamond Premr Pro"/>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utch801 Rm BT">
    <w:charset w:val="00"/>
    <w:family w:val="roman"/>
    <w:pitch w:val="variable"/>
    <w:sig w:usb0="00000087" w:usb1="00000000" w:usb2="00000000" w:usb3="00000000" w:csb0="0000001B" w:csb1="00000000"/>
  </w:font>
  <w:font w:name="Courier Std">
    <w:altName w:val="Courier New"/>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1A12" w14:textId="77777777" w:rsidR="007E4007" w:rsidRDefault="007E40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890722"/>
      <w:docPartObj>
        <w:docPartGallery w:val="Page Numbers (Bottom of Page)"/>
        <w:docPartUnique/>
      </w:docPartObj>
    </w:sdtPr>
    <w:sdtEndPr>
      <w:rPr>
        <w:noProof/>
      </w:rPr>
    </w:sdtEndPr>
    <w:sdtContent>
      <w:p w14:paraId="7B7D8FF6" w14:textId="39258605" w:rsidR="00A304EC" w:rsidRDefault="00A304EC">
        <w:pPr>
          <w:pStyle w:val="Footer"/>
          <w:jc w:val="center"/>
        </w:pPr>
        <w:r>
          <w:fldChar w:fldCharType="begin"/>
        </w:r>
        <w:r>
          <w:instrText xml:space="preserve"> PAGE   \* MERGEFORMAT </w:instrText>
        </w:r>
        <w:r>
          <w:fldChar w:fldCharType="separate"/>
        </w:r>
        <w:r w:rsidR="00360444">
          <w:rPr>
            <w:noProof/>
          </w:rPr>
          <w:t>5</w:t>
        </w:r>
        <w:r w:rsidR="00360444">
          <w:rPr>
            <w:noProof/>
          </w:rPr>
          <w:t>1</w:t>
        </w:r>
        <w:r>
          <w:rPr>
            <w:noProof/>
          </w:rPr>
          <w:fldChar w:fldCharType="end"/>
        </w:r>
      </w:p>
    </w:sdtContent>
  </w:sdt>
  <w:p w14:paraId="04599389" w14:textId="77777777" w:rsidR="00A304EC" w:rsidRDefault="00A30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423697"/>
      <w:docPartObj>
        <w:docPartGallery w:val="Page Numbers (Bottom of Page)"/>
        <w:docPartUnique/>
      </w:docPartObj>
    </w:sdtPr>
    <w:sdtEndPr>
      <w:rPr>
        <w:noProof/>
      </w:rPr>
    </w:sdtEndPr>
    <w:sdtContent>
      <w:p w14:paraId="6E8D0BFB" w14:textId="1E764415" w:rsidR="00680C61" w:rsidRDefault="00680C61">
        <w:pPr>
          <w:pStyle w:val="Footer"/>
          <w:jc w:val="center"/>
        </w:pPr>
        <w:r>
          <w:fldChar w:fldCharType="begin"/>
        </w:r>
        <w:r>
          <w:instrText xml:space="preserve"> PAGE   \* MERGEFORMAT </w:instrText>
        </w:r>
        <w:r>
          <w:fldChar w:fldCharType="separate"/>
        </w:r>
        <w:r w:rsidR="008503BF">
          <w:rPr>
            <w:noProof/>
          </w:rPr>
          <w:t>6</w:t>
        </w:r>
        <w:r w:rsidR="008503BF">
          <w:rPr>
            <w:noProof/>
          </w:rPr>
          <w:t>3</w:t>
        </w:r>
        <w:r>
          <w:rPr>
            <w:noProof/>
          </w:rPr>
          <w:fldChar w:fldCharType="end"/>
        </w:r>
      </w:p>
    </w:sdtContent>
  </w:sdt>
  <w:p w14:paraId="79975F34"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81519" w14:textId="77777777" w:rsidR="0074090B" w:rsidRDefault="0074090B">
      <w:r>
        <w:separator/>
      </w:r>
    </w:p>
  </w:footnote>
  <w:footnote w:type="continuationSeparator" w:id="0">
    <w:p w14:paraId="7F46E035" w14:textId="77777777" w:rsidR="0074090B" w:rsidRDefault="00740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9797E"/>
    <w:multiLevelType w:val="multilevel"/>
    <w:tmpl w:val="E1BCAD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1"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8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3A877D64"/>
    <w:multiLevelType w:val="singleLevel"/>
    <w:tmpl w:val="3A877D64"/>
    <w:lvl w:ilvl="0">
      <w:start w:val="1"/>
      <w:numFmt w:val="decimal"/>
      <w:pStyle w:val="References"/>
      <w:lvlText w:val="[%1]"/>
      <w:lvlJc w:val="left"/>
      <w:pPr>
        <w:tabs>
          <w:tab w:val="num" w:pos="450"/>
        </w:tabs>
        <w:ind w:left="450" w:hanging="360"/>
      </w:pPr>
      <w:rPr>
        <w:i w:val="0"/>
        <w:color w:val="auto"/>
        <w:lang w:val="it-IT"/>
      </w:rPr>
    </w:lvl>
  </w:abstractNum>
  <w:abstractNum w:abstractNumId="3" w15:restartNumberingAfterBreak="0">
    <w:nsid w:val="799B0C38"/>
    <w:multiLevelType w:val="multilevel"/>
    <w:tmpl w:val="ADA8A374"/>
    <w:lvl w:ilvl="0">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rPr>
    </w:lvl>
    <w:lvl w:ilvl="1">
      <w:start w:val="1"/>
      <w:numFmt w:val="decimal"/>
      <w:pStyle w:val="StyleHeading2Calibri"/>
      <w:lvlText w:val="%1.%2"/>
      <w:lvlJc w:val="left"/>
      <w:pPr>
        <w:tabs>
          <w:tab w:val="num" w:pos="396"/>
        </w:tabs>
        <w:ind w:left="252" w:hanging="432"/>
      </w:pPr>
      <w:rPr>
        <w:rFonts w:hint="default"/>
        <w:sz w:val="28"/>
        <w:szCs w:val="3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num w:numId="1" w16cid:durableId="967852669">
    <w:abstractNumId w:val="2"/>
  </w:num>
  <w:num w:numId="2" w16cid:durableId="67845909">
    <w:abstractNumId w:val="1"/>
  </w:num>
  <w:num w:numId="3" w16cid:durableId="1830710698">
    <w:abstractNumId w:val="3"/>
  </w:num>
  <w:num w:numId="4" w16cid:durableId="89844077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64C"/>
    <w:rsid w:val="00000D3E"/>
    <w:rsid w:val="000019AC"/>
    <w:rsid w:val="00003014"/>
    <w:rsid w:val="000062A6"/>
    <w:rsid w:val="00006DAD"/>
    <w:rsid w:val="00010562"/>
    <w:rsid w:val="00011651"/>
    <w:rsid w:val="0001165A"/>
    <w:rsid w:val="000118BA"/>
    <w:rsid w:val="00013A8A"/>
    <w:rsid w:val="00014B65"/>
    <w:rsid w:val="000177D6"/>
    <w:rsid w:val="000203CF"/>
    <w:rsid w:val="0002072E"/>
    <w:rsid w:val="00022C27"/>
    <w:rsid w:val="0002333D"/>
    <w:rsid w:val="00034AA0"/>
    <w:rsid w:val="00040C63"/>
    <w:rsid w:val="00040FD3"/>
    <w:rsid w:val="00041618"/>
    <w:rsid w:val="00041C09"/>
    <w:rsid w:val="00041D96"/>
    <w:rsid w:val="0004347E"/>
    <w:rsid w:val="00044850"/>
    <w:rsid w:val="00045046"/>
    <w:rsid w:val="000467B4"/>
    <w:rsid w:val="000519B6"/>
    <w:rsid w:val="00051EF1"/>
    <w:rsid w:val="00054E0D"/>
    <w:rsid w:val="00055509"/>
    <w:rsid w:val="00056A84"/>
    <w:rsid w:val="000624D7"/>
    <w:rsid w:val="000628F3"/>
    <w:rsid w:val="0006546B"/>
    <w:rsid w:val="00067824"/>
    <w:rsid w:val="00067F98"/>
    <w:rsid w:val="000713B6"/>
    <w:rsid w:val="00072DFC"/>
    <w:rsid w:val="00075100"/>
    <w:rsid w:val="000761DD"/>
    <w:rsid w:val="000769CB"/>
    <w:rsid w:val="00077CAD"/>
    <w:rsid w:val="00077D91"/>
    <w:rsid w:val="0008147B"/>
    <w:rsid w:val="00082FE8"/>
    <w:rsid w:val="00085F7D"/>
    <w:rsid w:val="00091C4E"/>
    <w:rsid w:val="000A372F"/>
    <w:rsid w:val="000A71C2"/>
    <w:rsid w:val="000B04B4"/>
    <w:rsid w:val="000B3E0E"/>
    <w:rsid w:val="000C0316"/>
    <w:rsid w:val="000C15E2"/>
    <w:rsid w:val="000C4567"/>
    <w:rsid w:val="000C5C8E"/>
    <w:rsid w:val="000D7AF2"/>
    <w:rsid w:val="000E31D0"/>
    <w:rsid w:val="000E46A6"/>
    <w:rsid w:val="000E6CED"/>
    <w:rsid w:val="000F0905"/>
    <w:rsid w:val="000F1D32"/>
    <w:rsid w:val="000F3745"/>
    <w:rsid w:val="000F6C74"/>
    <w:rsid w:val="000F7220"/>
    <w:rsid w:val="0010278C"/>
    <w:rsid w:val="00105245"/>
    <w:rsid w:val="00105ED9"/>
    <w:rsid w:val="00111493"/>
    <w:rsid w:val="00111AF1"/>
    <w:rsid w:val="001138A7"/>
    <w:rsid w:val="00114235"/>
    <w:rsid w:val="00115D16"/>
    <w:rsid w:val="0012246F"/>
    <w:rsid w:val="00123EBB"/>
    <w:rsid w:val="00132193"/>
    <w:rsid w:val="00133384"/>
    <w:rsid w:val="001345A6"/>
    <w:rsid w:val="001356CF"/>
    <w:rsid w:val="00142721"/>
    <w:rsid w:val="00144C22"/>
    <w:rsid w:val="001636A7"/>
    <w:rsid w:val="00167AE5"/>
    <w:rsid w:val="00174954"/>
    <w:rsid w:val="0017647C"/>
    <w:rsid w:val="0018129B"/>
    <w:rsid w:val="00181919"/>
    <w:rsid w:val="00185013"/>
    <w:rsid w:val="00186D3F"/>
    <w:rsid w:val="00187B86"/>
    <w:rsid w:val="00191231"/>
    <w:rsid w:val="00193A27"/>
    <w:rsid w:val="00194097"/>
    <w:rsid w:val="0019609B"/>
    <w:rsid w:val="0019661B"/>
    <w:rsid w:val="001970EE"/>
    <w:rsid w:val="00197132"/>
    <w:rsid w:val="00197B96"/>
    <w:rsid w:val="00197DE7"/>
    <w:rsid w:val="001A0BD7"/>
    <w:rsid w:val="001A1D50"/>
    <w:rsid w:val="001A210B"/>
    <w:rsid w:val="001A70DF"/>
    <w:rsid w:val="001B542E"/>
    <w:rsid w:val="001C1953"/>
    <w:rsid w:val="001C410F"/>
    <w:rsid w:val="001C4EA1"/>
    <w:rsid w:val="001D1C42"/>
    <w:rsid w:val="001D49D8"/>
    <w:rsid w:val="001D5D8F"/>
    <w:rsid w:val="001D63AD"/>
    <w:rsid w:val="001D69CD"/>
    <w:rsid w:val="001E09CC"/>
    <w:rsid w:val="001E491D"/>
    <w:rsid w:val="001F0376"/>
    <w:rsid w:val="001F0884"/>
    <w:rsid w:val="001F0A85"/>
    <w:rsid w:val="001F354E"/>
    <w:rsid w:val="001F5E63"/>
    <w:rsid w:val="001F7359"/>
    <w:rsid w:val="00200821"/>
    <w:rsid w:val="00203538"/>
    <w:rsid w:val="00203690"/>
    <w:rsid w:val="00206BD9"/>
    <w:rsid w:val="00207642"/>
    <w:rsid w:val="002158A3"/>
    <w:rsid w:val="0022442D"/>
    <w:rsid w:val="002257E3"/>
    <w:rsid w:val="00231434"/>
    <w:rsid w:val="002324AC"/>
    <w:rsid w:val="0023633D"/>
    <w:rsid w:val="00236B0A"/>
    <w:rsid w:val="00241509"/>
    <w:rsid w:val="0024344D"/>
    <w:rsid w:val="00243F1A"/>
    <w:rsid w:val="00251E91"/>
    <w:rsid w:val="002540EE"/>
    <w:rsid w:val="0025425F"/>
    <w:rsid w:val="002558DF"/>
    <w:rsid w:val="00256A7F"/>
    <w:rsid w:val="0025711E"/>
    <w:rsid w:val="0026033C"/>
    <w:rsid w:val="0026111B"/>
    <w:rsid w:val="00262010"/>
    <w:rsid w:val="0026655E"/>
    <w:rsid w:val="002669C6"/>
    <w:rsid w:val="00266AC8"/>
    <w:rsid w:val="0027264C"/>
    <w:rsid w:val="00275325"/>
    <w:rsid w:val="00276CC2"/>
    <w:rsid w:val="00281A9E"/>
    <w:rsid w:val="00281D29"/>
    <w:rsid w:val="00282213"/>
    <w:rsid w:val="00282682"/>
    <w:rsid w:val="00283E1B"/>
    <w:rsid w:val="0028589E"/>
    <w:rsid w:val="0029202A"/>
    <w:rsid w:val="00293040"/>
    <w:rsid w:val="00294290"/>
    <w:rsid w:val="00297CDF"/>
    <w:rsid w:val="002A175C"/>
    <w:rsid w:val="002A3B6E"/>
    <w:rsid w:val="002A4615"/>
    <w:rsid w:val="002A4DA7"/>
    <w:rsid w:val="002B0203"/>
    <w:rsid w:val="002B0E56"/>
    <w:rsid w:val="002B42E3"/>
    <w:rsid w:val="002B4950"/>
    <w:rsid w:val="002C00F6"/>
    <w:rsid w:val="002C4E99"/>
    <w:rsid w:val="002C50DF"/>
    <w:rsid w:val="002D1804"/>
    <w:rsid w:val="002D4A78"/>
    <w:rsid w:val="002D5146"/>
    <w:rsid w:val="002D60B8"/>
    <w:rsid w:val="002E2ECD"/>
    <w:rsid w:val="002E30D3"/>
    <w:rsid w:val="002E6F74"/>
    <w:rsid w:val="002F14C8"/>
    <w:rsid w:val="002F4450"/>
    <w:rsid w:val="00300282"/>
    <w:rsid w:val="0030138E"/>
    <w:rsid w:val="00301C3D"/>
    <w:rsid w:val="00301FE0"/>
    <w:rsid w:val="00303912"/>
    <w:rsid w:val="00310249"/>
    <w:rsid w:val="00310D44"/>
    <w:rsid w:val="003118EE"/>
    <w:rsid w:val="0031215D"/>
    <w:rsid w:val="00312C20"/>
    <w:rsid w:val="00316F63"/>
    <w:rsid w:val="003200E5"/>
    <w:rsid w:val="00321FCD"/>
    <w:rsid w:val="00332485"/>
    <w:rsid w:val="00332833"/>
    <w:rsid w:val="00332DBF"/>
    <w:rsid w:val="0033302A"/>
    <w:rsid w:val="00333712"/>
    <w:rsid w:val="00337F66"/>
    <w:rsid w:val="003420D1"/>
    <w:rsid w:val="003421F4"/>
    <w:rsid w:val="0034531D"/>
    <w:rsid w:val="003455C5"/>
    <w:rsid w:val="003464B3"/>
    <w:rsid w:val="00347BA6"/>
    <w:rsid w:val="00350DD6"/>
    <w:rsid w:val="0035474C"/>
    <w:rsid w:val="0035573C"/>
    <w:rsid w:val="00355C7F"/>
    <w:rsid w:val="00360444"/>
    <w:rsid w:val="00364D68"/>
    <w:rsid w:val="003707D5"/>
    <w:rsid w:val="00371971"/>
    <w:rsid w:val="003726C1"/>
    <w:rsid w:val="00373D1C"/>
    <w:rsid w:val="00381BE4"/>
    <w:rsid w:val="0038200A"/>
    <w:rsid w:val="003823FC"/>
    <w:rsid w:val="00383F26"/>
    <w:rsid w:val="00395CA7"/>
    <w:rsid w:val="00396F7D"/>
    <w:rsid w:val="003A3D86"/>
    <w:rsid w:val="003A7CFA"/>
    <w:rsid w:val="003B2B97"/>
    <w:rsid w:val="003B306E"/>
    <w:rsid w:val="003B7654"/>
    <w:rsid w:val="003B7AB4"/>
    <w:rsid w:val="003D00EA"/>
    <w:rsid w:val="003D130F"/>
    <w:rsid w:val="003D578A"/>
    <w:rsid w:val="003D6DBC"/>
    <w:rsid w:val="003E2246"/>
    <w:rsid w:val="003E566F"/>
    <w:rsid w:val="003E6B0D"/>
    <w:rsid w:val="003E76A4"/>
    <w:rsid w:val="003F1FF9"/>
    <w:rsid w:val="003F26C3"/>
    <w:rsid w:val="003F4CD9"/>
    <w:rsid w:val="003F509F"/>
    <w:rsid w:val="003F7933"/>
    <w:rsid w:val="00401AE0"/>
    <w:rsid w:val="0040204F"/>
    <w:rsid w:val="004046FE"/>
    <w:rsid w:val="00406644"/>
    <w:rsid w:val="00407AFC"/>
    <w:rsid w:val="00410A15"/>
    <w:rsid w:val="0041100F"/>
    <w:rsid w:val="0041391B"/>
    <w:rsid w:val="00420463"/>
    <w:rsid w:val="00423485"/>
    <w:rsid w:val="00427458"/>
    <w:rsid w:val="00427799"/>
    <w:rsid w:val="00430F2E"/>
    <w:rsid w:val="00431F62"/>
    <w:rsid w:val="004359D2"/>
    <w:rsid w:val="004365CF"/>
    <w:rsid w:val="00440CD1"/>
    <w:rsid w:val="0044156B"/>
    <w:rsid w:val="00447D1F"/>
    <w:rsid w:val="004513D6"/>
    <w:rsid w:val="00452A62"/>
    <w:rsid w:val="00462692"/>
    <w:rsid w:val="00465CF0"/>
    <w:rsid w:val="00474192"/>
    <w:rsid w:val="00474441"/>
    <w:rsid w:val="00482C38"/>
    <w:rsid w:val="004847DA"/>
    <w:rsid w:val="00487595"/>
    <w:rsid w:val="00491859"/>
    <w:rsid w:val="004959AF"/>
    <w:rsid w:val="00496826"/>
    <w:rsid w:val="00496A49"/>
    <w:rsid w:val="004A0D9E"/>
    <w:rsid w:val="004A29EF"/>
    <w:rsid w:val="004A3050"/>
    <w:rsid w:val="004A61A8"/>
    <w:rsid w:val="004B08E3"/>
    <w:rsid w:val="004B2C98"/>
    <w:rsid w:val="004C12FB"/>
    <w:rsid w:val="004C5203"/>
    <w:rsid w:val="004C612B"/>
    <w:rsid w:val="004C79E1"/>
    <w:rsid w:val="004C7B32"/>
    <w:rsid w:val="004C7B72"/>
    <w:rsid w:val="004D6651"/>
    <w:rsid w:val="004E6FC4"/>
    <w:rsid w:val="004F0667"/>
    <w:rsid w:val="004F0FA1"/>
    <w:rsid w:val="004F4B45"/>
    <w:rsid w:val="004F4C5A"/>
    <w:rsid w:val="004F6DBB"/>
    <w:rsid w:val="005003A6"/>
    <w:rsid w:val="00501E30"/>
    <w:rsid w:val="005066A4"/>
    <w:rsid w:val="00511529"/>
    <w:rsid w:val="0051599E"/>
    <w:rsid w:val="005208BE"/>
    <w:rsid w:val="00522239"/>
    <w:rsid w:val="0052424E"/>
    <w:rsid w:val="00527FAD"/>
    <w:rsid w:val="00530036"/>
    <w:rsid w:val="00532FE8"/>
    <w:rsid w:val="00533675"/>
    <w:rsid w:val="0054004A"/>
    <w:rsid w:val="005442B8"/>
    <w:rsid w:val="00545437"/>
    <w:rsid w:val="00545A2F"/>
    <w:rsid w:val="0054618D"/>
    <w:rsid w:val="00546C60"/>
    <w:rsid w:val="00550328"/>
    <w:rsid w:val="00555D0D"/>
    <w:rsid w:val="00560AA0"/>
    <w:rsid w:val="00571454"/>
    <w:rsid w:val="00577736"/>
    <w:rsid w:val="0057776F"/>
    <w:rsid w:val="00582515"/>
    <w:rsid w:val="00586B38"/>
    <w:rsid w:val="00590344"/>
    <w:rsid w:val="005935F6"/>
    <w:rsid w:val="005A0347"/>
    <w:rsid w:val="005A12F7"/>
    <w:rsid w:val="005A2932"/>
    <w:rsid w:val="005A2BE2"/>
    <w:rsid w:val="005A60D1"/>
    <w:rsid w:val="005A7514"/>
    <w:rsid w:val="005B088A"/>
    <w:rsid w:val="005B2E9A"/>
    <w:rsid w:val="005B3E77"/>
    <w:rsid w:val="005B5691"/>
    <w:rsid w:val="005B5815"/>
    <w:rsid w:val="005C18D0"/>
    <w:rsid w:val="005C5364"/>
    <w:rsid w:val="005C56F5"/>
    <w:rsid w:val="005D454D"/>
    <w:rsid w:val="005D6006"/>
    <w:rsid w:val="005D6B32"/>
    <w:rsid w:val="005E30D4"/>
    <w:rsid w:val="005E4C67"/>
    <w:rsid w:val="005E6E5D"/>
    <w:rsid w:val="005E71B9"/>
    <w:rsid w:val="005F078A"/>
    <w:rsid w:val="005F725E"/>
    <w:rsid w:val="006045ED"/>
    <w:rsid w:val="00605480"/>
    <w:rsid w:val="00610F91"/>
    <w:rsid w:val="00613BBE"/>
    <w:rsid w:val="00616BDC"/>
    <w:rsid w:val="00622779"/>
    <w:rsid w:val="00623E5E"/>
    <w:rsid w:val="006277BF"/>
    <w:rsid w:val="00627E60"/>
    <w:rsid w:val="00630935"/>
    <w:rsid w:val="00632329"/>
    <w:rsid w:val="00637E8D"/>
    <w:rsid w:val="00640881"/>
    <w:rsid w:val="00640FC5"/>
    <w:rsid w:val="00644234"/>
    <w:rsid w:val="0064432A"/>
    <w:rsid w:val="0064498C"/>
    <w:rsid w:val="00645469"/>
    <w:rsid w:val="00651F1C"/>
    <w:rsid w:val="00652C3C"/>
    <w:rsid w:val="00654D83"/>
    <w:rsid w:val="006556FA"/>
    <w:rsid w:val="00655D5B"/>
    <w:rsid w:val="00663596"/>
    <w:rsid w:val="006653D0"/>
    <w:rsid w:val="00665B3C"/>
    <w:rsid w:val="006766AB"/>
    <w:rsid w:val="00680C61"/>
    <w:rsid w:val="00681B49"/>
    <w:rsid w:val="006843DF"/>
    <w:rsid w:val="00687471"/>
    <w:rsid w:val="00691EBE"/>
    <w:rsid w:val="00695DBC"/>
    <w:rsid w:val="006A0DBC"/>
    <w:rsid w:val="006A3587"/>
    <w:rsid w:val="006A5B77"/>
    <w:rsid w:val="006B0D2E"/>
    <w:rsid w:val="006B45D7"/>
    <w:rsid w:val="006C0684"/>
    <w:rsid w:val="006C0E84"/>
    <w:rsid w:val="006C32D8"/>
    <w:rsid w:val="006C4492"/>
    <w:rsid w:val="006C539B"/>
    <w:rsid w:val="006C6652"/>
    <w:rsid w:val="006C753D"/>
    <w:rsid w:val="006D02F9"/>
    <w:rsid w:val="006D0D7C"/>
    <w:rsid w:val="006D0EF1"/>
    <w:rsid w:val="006D3531"/>
    <w:rsid w:val="006D5805"/>
    <w:rsid w:val="006E06D3"/>
    <w:rsid w:val="006E282F"/>
    <w:rsid w:val="006E2930"/>
    <w:rsid w:val="006E611C"/>
    <w:rsid w:val="006F5DE7"/>
    <w:rsid w:val="00711CAD"/>
    <w:rsid w:val="00712DEA"/>
    <w:rsid w:val="00714FD7"/>
    <w:rsid w:val="0071658A"/>
    <w:rsid w:val="00716BFE"/>
    <w:rsid w:val="00720B0C"/>
    <w:rsid w:val="0072363E"/>
    <w:rsid w:val="00724D5F"/>
    <w:rsid w:val="00727911"/>
    <w:rsid w:val="00734057"/>
    <w:rsid w:val="00734F7B"/>
    <w:rsid w:val="007374F3"/>
    <w:rsid w:val="0074090B"/>
    <w:rsid w:val="0074151E"/>
    <w:rsid w:val="00741FCD"/>
    <w:rsid w:val="007455A3"/>
    <w:rsid w:val="00746888"/>
    <w:rsid w:val="00747369"/>
    <w:rsid w:val="0074757F"/>
    <w:rsid w:val="00750936"/>
    <w:rsid w:val="0076050D"/>
    <w:rsid w:val="00766C15"/>
    <w:rsid w:val="0077244F"/>
    <w:rsid w:val="00776E31"/>
    <w:rsid w:val="0078513E"/>
    <w:rsid w:val="00786563"/>
    <w:rsid w:val="00790A24"/>
    <w:rsid w:val="00795670"/>
    <w:rsid w:val="007969D8"/>
    <w:rsid w:val="007A0164"/>
    <w:rsid w:val="007A1E06"/>
    <w:rsid w:val="007A275B"/>
    <w:rsid w:val="007A2D49"/>
    <w:rsid w:val="007A3EBB"/>
    <w:rsid w:val="007A5FCE"/>
    <w:rsid w:val="007A639C"/>
    <w:rsid w:val="007A6D9F"/>
    <w:rsid w:val="007B29DE"/>
    <w:rsid w:val="007B54FB"/>
    <w:rsid w:val="007C39C4"/>
    <w:rsid w:val="007C51BA"/>
    <w:rsid w:val="007C5489"/>
    <w:rsid w:val="007C5DCC"/>
    <w:rsid w:val="007C69C1"/>
    <w:rsid w:val="007C79A2"/>
    <w:rsid w:val="007D0065"/>
    <w:rsid w:val="007D1AAE"/>
    <w:rsid w:val="007D22E6"/>
    <w:rsid w:val="007D2AC6"/>
    <w:rsid w:val="007D306E"/>
    <w:rsid w:val="007D58AA"/>
    <w:rsid w:val="007D74A9"/>
    <w:rsid w:val="007E4007"/>
    <w:rsid w:val="007F2716"/>
    <w:rsid w:val="007F4201"/>
    <w:rsid w:val="007F69C9"/>
    <w:rsid w:val="007F7968"/>
    <w:rsid w:val="00807C49"/>
    <w:rsid w:val="00811674"/>
    <w:rsid w:val="0081757A"/>
    <w:rsid w:val="008175A7"/>
    <w:rsid w:val="00824039"/>
    <w:rsid w:val="00824D59"/>
    <w:rsid w:val="008273F4"/>
    <w:rsid w:val="008369FA"/>
    <w:rsid w:val="00837C19"/>
    <w:rsid w:val="00837D99"/>
    <w:rsid w:val="00840C38"/>
    <w:rsid w:val="008449F1"/>
    <w:rsid w:val="008462F5"/>
    <w:rsid w:val="008503BF"/>
    <w:rsid w:val="0085306F"/>
    <w:rsid w:val="00853306"/>
    <w:rsid w:val="00855340"/>
    <w:rsid w:val="00857325"/>
    <w:rsid w:val="00862C5D"/>
    <w:rsid w:val="0086558E"/>
    <w:rsid w:val="008676CB"/>
    <w:rsid w:val="00867779"/>
    <w:rsid w:val="00867A19"/>
    <w:rsid w:val="0087098B"/>
    <w:rsid w:val="008710D3"/>
    <w:rsid w:val="00871328"/>
    <w:rsid w:val="008746E3"/>
    <w:rsid w:val="00874791"/>
    <w:rsid w:val="0087537A"/>
    <w:rsid w:val="00877DE7"/>
    <w:rsid w:val="00881D6E"/>
    <w:rsid w:val="00883511"/>
    <w:rsid w:val="00886B8F"/>
    <w:rsid w:val="00886CAF"/>
    <w:rsid w:val="008873D7"/>
    <w:rsid w:val="008877FE"/>
    <w:rsid w:val="0088781A"/>
    <w:rsid w:val="008903F1"/>
    <w:rsid w:val="00892147"/>
    <w:rsid w:val="008923AC"/>
    <w:rsid w:val="0089340C"/>
    <w:rsid w:val="008938DF"/>
    <w:rsid w:val="008A1AD4"/>
    <w:rsid w:val="008A372C"/>
    <w:rsid w:val="008A605D"/>
    <w:rsid w:val="008A69E7"/>
    <w:rsid w:val="008B158C"/>
    <w:rsid w:val="008B37C1"/>
    <w:rsid w:val="008B4264"/>
    <w:rsid w:val="008B633A"/>
    <w:rsid w:val="008B6989"/>
    <w:rsid w:val="008C0EE5"/>
    <w:rsid w:val="008C4FB4"/>
    <w:rsid w:val="008C5278"/>
    <w:rsid w:val="008C62CA"/>
    <w:rsid w:val="008C7B17"/>
    <w:rsid w:val="008D3AF3"/>
    <w:rsid w:val="008D4E41"/>
    <w:rsid w:val="008E12E6"/>
    <w:rsid w:val="008E23C8"/>
    <w:rsid w:val="008F0FDB"/>
    <w:rsid w:val="008F19DA"/>
    <w:rsid w:val="008F2309"/>
    <w:rsid w:val="008F51E3"/>
    <w:rsid w:val="008F6EF7"/>
    <w:rsid w:val="00902845"/>
    <w:rsid w:val="009032C2"/>
    <w:rsid w:val="009104CF"/>
    <w:rsid w:val="00910CED"/>
    <w:rsid w:val="00910FD0"/>
    <w:rsid w:val="00913700"/>
    <w:rsid w:val="00914F82"/>
    <w:rsid w:val="0091788F"/>
    <w:rsid w:val="00923C4F"/>
    <w:rsid w:val="00924ABE"/>
    <w:rsid w:val="00925D1E"/>
    <w:rsid w:val="00926508"/>
    <w:rsid w:val="00941631"/>
    <w:rsid w:val="0094333E"/>
    <w:rsid w:val="00954A32"/>
    <w:rsid w:val="00954F49"/>
    <w:rsid w:val="009577B5"/>
    <w:rsid w:val="009600F4"/>
    <w:rsid w:val="00964C2B"/>
    <w:rsid w:val="00967D1D"/>
    <w:rsid w:val="00971CB6"/>
    <w:rsid w:val="00972CB8"/>
    <w:rsid w:val="00974D87"/>
    <w:rsid w:val="00977AAA"/>
    <w:rsid w:val="00977F96"/>
    <w:rsid w:val="0098131A"/>
    <w:rsid w:val="0098339F"/>
    <w:rsid w:val="00984EF6"/>
    <w:rsid w:val="00991E96"/>
    <w:rsid w:val="0099539A"/>
    <w:rsid w:val="00997075"/>
    <w:rsid w:val="009A2950"/>
    <w:rsid w:val="009A2E8F"/>
    <w:rsid w:val="009A56C5"/>
    <w:rsid w:val="009B0940"/>
    <w:rsid w:val="009B2924"/>
    <w:rsid w:val="009B66B3"/>
    <w:rsid w:val="009C117C"/>
    <w:rsid w:val="009C1316"/>
    <w:rsid w:val="009C1C1E"/>
    <w:rsid w:val="009C257B"/>
    <w:rsid w:val="009C35C8"/>
    <w:rsid w:val="009C4607"/>
    <w:rsid w:val="009C7242"/>
    <w:rsid w:val="009D19BE"/>
    <w:rsid w:val="009D5C0F"/>
    <w:rsid w:val="009E0004"/>
    <w:rsid w:val="009E4943"/>
    <w:rsid w:val="009E5518"/>
    <w:rsid w:val="009E75C8"/>
    <w:rsid w:val="00A032A6"/>
    <w:rsid w:val="00A035A0"/>
    <w:rsid w:val="00A07C2F"/>
    <w:rsid w:val="00A109D0"/>
    <w:rsid w:val="00A12E16"/>
    <w:rsid w:val="00A13555"/>
    <w:rsid w:val="00A17371"/>
    <w:rsid w:val="00A178A5"/>
    <w:rsid w:val="00A200AB"/>
    <w:rsid w:val="00A21463"/>
    <w:rsid w:val="00A22E37"/>
    <w:rsid w:val="00A2459F"/>
    <w:rsid w:val="00A2698D"/>
    <w:rsid w:val="00A30131"/>
    <w:rsid w:val="00A304EC"/>
    <w:rsid w:val="00A32DB4"/>
    <w:rsid w:val="00A33C6D"/>
    <w:rsid w:val="00A349C2"/>
    <w:rsid w:val="00A34F62"/>
    <w:rsid w:val="00A36575"/>
    <w:rsid w:val="00A3692A"/>
    <w:rsid w:val="00A423C6"/>
    <w:rsid w:val="00A449E2"/>
    <w:rsid w:val="00A4630A"/>
    <w:rsid w:val="00A51A65"/>
    <w:rsid w:val="00A51F41"/>
    <w:rsid w:val="00A556E7"/>
    <w:rsid w:val="00A561BE"/>
    <w:rsid w:val="00A56A97"/>
    <w:rsid w:val="00A608BF"/>
    <w:rsid w:val="00A62582"/>
    <w:rsid w:val="00A64162"/>
    <w:rsid w:val="00A65903"/>
    <w:rsid w:val="00A662D9"/>
    <w:rsid w:val="00A705E9"/>
    <w:rsid w:val="00A72324"/>
    <w:rsid w:val="00A75F3B"/>
    <w:rsid w:val="00A76961"/>
    <w:rsid w:val="00A76F68"/>
    <w:rsid w:val="00A8049E"/>
    <w:rsid w:val="00A84D37"/>
    <w:rsid w:val="00A84E3D"/>
    <w:rsid w:val="00A8672F"/>
    <w:rsid w:val="00A86E71"/>
    <w:rsid w:val="00A9142C"/>
    <w:rsid w:val="00A91FA8"/>
    <w:rsid w:val="00A92D8F"/>
    <w:rsid w:val="00A95F68"/>
    <w:rsid w:val="00A96374"/>
    <w:rsid w:val="00A9702F"/>
    <w:rsid w:val="00AA4781"/>
    <w:rsid w:val="00AB248F"/>
    <w:rsid w:val="00AB406C"/>
    <w:rsid w:val="00AB60DA"/>
    <w:rsid w:val="00AB699A"/>
    <w:rsid w:val="00AB6B38"/>
    <w:rsid w:val="00AC0571"/>
    <w:rsid w:val="00AC0A5B"/>
    <w:rsid w:val="00AC11CF"/>
    <w:rsid w:val="00AC17B8"/>
    <w:rsid w:val="00AC40BA"/>
    <w:rsid w:val="00AC62E2"/>
    <w:rsid w:val="00AC6B87"/>
    <w:rsid w:val="00AC7BE2"/>
    <w:rsid w:val="00AD3BBE"/>
    <w:rsid w:val="00AD7F4F"/>
    <w:rsid w:val="00AE2BF4"/>
    <w:rsid w:val="00AE36CD"/>
    <w:rsid w:val="00AE3D13"/>
    <w:rsid w:val="00AE66DD"/>
    <w:rsid w:val="00AE7DF7"/>
    <w:rsid w:val="00AF6BFC"/>
    <w:rsid w:val="00AF6C1E"/>
    <w:rsid w:val="00AF72D7"/>
    <w:rsid w:val="00B0010B"/>
    <w:rsid w:val="00B00655"/>
    <w:rsid w:val="00B0325A"/>
    <w:rsid w:val="00B05448"/>
    <w:rsid w:val="00B109E3"/>
    <w:rsid w:val="00B13DA0"/>
    <w:rsid w:val="00B208CD"/>
    <w:rsid w:val="00B2093B"/>
    <w:rsid w:val="00B226AB"/>
    <w:rsid w:val="00B323FC"/>
    <w:rsid w:val="00B36E06"/>
    <w:rsid w:val="00B4375D"/>
    <w:rsid w:val="00B43AB6"/>
    <w:rsid w:val="00B449BD"/>
    <w:rsid w:val="00B50F9A"/>
    <w:rsid w:val="00B5304F"/>
    <w:rsid w:val="00B53872"/>
    <w:rsid w:val="00B53F97"/>
    <w:rsid w:val="00B546A2"/>
    <w:rsid w:val="00B56141"/>
    <w:rsid w:val="00B60EF2"/>
    <w:rsid w:val="00B6352F"/>
    <w:rsid w:val="00B63969"/>
    <w:rsid w:val="00B66712"/>
    <w:rsid w:val="00B67A48"/>
    <w:rsid w:val="00B70268"/>
    <w:rsid w:val="00B73709"/>
    <w:rsid w:val="00B7383A"/>
    <w:rsid w:val="00B76FC7"/>
    <w:rsid w:val="00B80C2F"/>
    <w:rsid w:val="00B84C1F"/>
    <w:rsid w:val="00B93381"/>
    <w:rsid w:val="00BA66BD"/>
    <w:rsid w:val="00BA7D62"/>
    <w:rsid w:val="00BB076F"/>
    <w:rsid w:val="00BB1AAF"/>
    <w:rsid w:val="00BB38CF"/>
    <w:rsid w:val="00BB3992"/>
    <w:rsid w:val="00BB73DE"/>
    <w:rsid w:val="00BC1D2A"/>
    <w:rsid w:val="00BC34F5"/>
    <w:rsid w:val="00BC5E15"/>
    <w:rsid w:val="00BC7596"/>
    <w:rsid w:val="00BD08E0"/>
    <w:rsid w:val="00BD1789"/>
    <w:rsid w:val="00BD1B99"/>
    <w:rsid w:val="00BD2B83"/>
    <w:rsid w:val="00BD3300"/>
    <w:rsid w:val="00BD594F"/>
    <w:rsid w:val="00BD5F1F"/>
    <w:rsid w:val="00BE5832"/>
    <w:rsid w:val="00BE6EB7"/>
    <w:rsid w:val="00BF288B"/>
    <w:rsid w:val="00BF314D"/>
    <w:rsid w:val="00BF62D0"/>
    <w:rsid w:val="00C0211C"/>
    <w:rsid w:val="00C0384F"/>
    <w:rsid w:val="00C05705"/>
    <w:rsid w:val="00C05F05"/>
    <w:rsid w:val="00C07A70"/>
    <w:rsid w:val="00C10266"/>
    <w:rsid w:val="00C13CD9"/>
    <w:rsid w:val="00C2148C"/>
    <w:rsid w:val="00C226DF"/>
    <w:rsid w:val="00C234EB"/>
    <w:rsid w:val="00C24306"/>
    <w:rsid w:val="00C316E1"/>
    <w:rsid w:val="00C320F1"/>
    <w:rsid w:val="00C348A5"/>
    <w:rsid w:val="00C37ABC"/>
    <w:rsid w:val="00C409A4"/>
    <w:rsid w:val="00C40B9F"/>
    <w:rsid w:val="00C42A03"/>
    <w:rsid w:val="00C43189"/>
    <w:rsid w:val="00C44E71"/>
    <w:rsid w:val="00C45341"/>
    <w:rsid w:val="00C45B8F"/>
    <w:rsid w:val="00C47BA4"/>
    <w:rsid w:val="00C53A52"/>
    <w:rsid w:val="00C6063D"/>
    <w:rsid w:val="00C61B33"/>
    <w:rsid w:val="00C62466"/>
    <w:rsid w:val="00C62E72"/>
    <w:rsid w:val="00C63505"/>
    <w:rsid w:val="00C65331"/>
    <w:rsid w:val="00C70E97"/>
    <w:rsid w:val="00C71874"/>
    <w:rsid w:val="00C7482E"/>
    <w:rsid w:val="00C868E8"/>
    <w:rsid w:val="00C87059"/>
    <w:rsid w:val="00C87F57"/>
    <w:rsid w:val="00C93655"/>
    <w:rsid w:val="00C9706F"/>
    <w:rsid w:val="00C97B83"/>
    <w:rsid w:val="00CA2A81"/>
    <w:rsid w:val="00CA5B45"/>
    <w:rsid w:val="00CA6AE8"/>
    <w:rsid w:val="00CA6F24"/>
    <w:rsid w:val="00CB571B"/>
    <w:rsid w:val="00CC04EB"/>
    <w:rsid w:val="00CC5A00"/>
    <w:rsid w:val="00CC5FDC"/>
    <w:rsid w:val="00CD0692"/>
    <w:rsid w:val="00CD2302"/>
    <w:rsid w:val="00CD42C1"/>
    <w:rsid w:val="00CD4916"/>
    <w:rsid w:val="00CD6017"/>
    <w:rsid w:val="00CD67C9"/>
    <w:rsid w:val="00CE3EF0"/>
    <w:rsid w:val="00CE501D"/>
    <w:rsid w:val="00CE5AF5"/>
    <w:rsid w:val="00CF199C"/>
    <w:rsid w:val="00CF1CD0"/>
    <w:rsid w:val="00CF31DA"/>
    <w:rsid w:val="00CF55A5"/>
    <w:rsid w:val="00CF70F2"/>
    <w:rsid w:val="00CF7A4B"/>
    <w:rsid w:val="00D01981"/>
    <w:rsid w:val="00D02047"/>
    <w:rsid w:val="00D05520"/>
    <w:rsid w:val="00D0595E"/>
    <w:rsid w:val="00D05CD6"/>
    <w:rsid w:val="00D105C8"/>
    <w:rsid w:val="00D11FCC"/>
    <w:rsid w:val="00D1266C"/>
    <w:rsid w:val="00D1715A"/>
    <w:rsid w:val="00D1751A"/>
    <w:rsid w:val="00D17DB5"/>
    <w:rsid w:val="00D226BA"/>
    <w:rsid w:val="00D23380"/>
    <w:rsid w:val="00D23A20"/>
    <w:rsid w:val="00D24BD8"/>
    <w:rsid w:val="00D262A0"/>
    <w:rsid w:val="00D279B5"/>
    <w:rsid w:val="00D33E1D"/>
    <w:rsid w:val="00D34E00"/>
    <w:rsid w:val="00D35123"/>
    <w:rsid w:val="00D35229"/>
    <w:rsid w:val="00D35C0F"/>
    <w:rsid w:val="00D4227F"/>
    <w:rsid w:val="00D43F50"/>
    <w:rsid w:val="00D45253"/>
    <w:rsid w:val="00D502EC"/>
    <w:rsid w:val="00D5182C"/>
    <w:rsid w:val="00D51CCE"/>
    <w:rsid w:val="00D527F8"/>
    <w:rsid w:val="00D61004"/>
    <w:rsid w:val="00D64A3A"/>
    <w:rsid w:val="00D7077C"/>
    <w:rsid w:val="00D71D69"/>
    <w:rsid w:val="00D74C0B"/>
    <w:rsid w:val="00D75F1C"/>
    <w:rsid w:val="00D75F34"/>
    <w:rsid w:val="00D77391"/>
    <w:rsid w:val="00D817AE"/>
    <w:rsid w:val="00D83850"/>
    <w:rsid w:val="00D85BDE"/>
    <w:rsid w:val="00D87890"/>
    <w:rsid w:val="00D928CB"/>
    <w:rsid w:val="00D946A9"/>
    <w:rsid w:val="00DA5CE3"/>
    <w:rsid w:val="00DA6185"/>
    <w:rsid w:val="00DA62E0"/>
    <w:rsid w:val="00DB09C3"/>
    <w:rsid w:val="00DB2DE5"/>
    <w:rsid w:val="00DB71BC"/>
    <w:rsid w:val="00DC10CE"/>
    <w:rsid w:val="00DC2478"/>
    <w:rsid w:val="00DC38A3"/>
    <w:rsid w:val="00DC4C6E"/>
    <w:rsid w:val="00DD3092"/>
    <w:rsid w:val="00DD6B37"/>
    <w:rsid w:val="00DD7CDD"/>
    <w:rsid w:val="00DE040F"/>
    <w:rsid w:val="00DE054F"/>
    <w:rsid w:val="00DE142F"/>
    <w:rsid w:val="00DE30A1"/>
    <w:rsid w:val="00DE5E56"/>
    <w:rsid w:val="00DF29D2"/>
    <w:rsid w:val="00DF4525"/>
    <w:rsid w:val="00DF613C"/>
    <w:rsid w:val="00DF6EAE"/>
    <w:rsid w:val="00E003D0"/>
    <w:rsid w:val="00E01B3E"/>
    <w:rsid w:val="00E03841"/>
    <w:rsid w:val="00E0548C"/>
    <w:rsid w:val="00E06514"/>
    <w:rsid w:val="00E06924"/>
    <w:rsid w:val="00E15554"/>
    <w:rsid w:val="00E2193B"/>
    <w:rsid w:val="00E24099"/>
    <w:rsid w:val="00E25D2B"/>
    <w:rsid w:val="00E261A6"/>
    <w:rsid w:val="00E26314"/>
    <w:rsid w:val="00E332E9"/>
    <w:rsid w:val="00E35671"/>
    <w:rsid w:val="00E368F4"/>
    <w:rsid w:val="00E37D42"/>
    <w:rsid w:val="00E4077D"/>
    <w:rsid w:val="00E42DAE"/>
    <w:rsid w:val="00E45727"/>
    <w:rsid w:val="00E45A86"/>
    <w:rsid w:val="00E50B9D"/>
    <w:rsid w:val="00E5315B"/>
    <w:rsid w:val="00E53AA0"/>
    <w:rsid w:val="00E53D53"/>
    <w:rsid w:val="00E56771"/>
    <w:rsid w:val="00E651E6"/>
    <w:rsid w:val="00E74EFA"/>
    <w:rsid w:val="00E76A45"/>
    <w:rsid w:val="00E80E17"/>
    <w:rsid w:val="00E81555"/>
    <w:rsid w:val="00E8248C"/>
    <w:rsid w:val="00E83176"/>
    <w:rsid w:val="00E9060C"/>
    <w:rsid w:val="00E906CF"/>
    <w:rsid w:val="00E91BE4"/>
    <w:rsid w:val="00E92BC5"/>
    <w:rsid w:val="00E94962"/>
    <w:rsid w:val="00E95485"/>
    <w:rsid w:val="00E962B4"/>
    <w:rsid w:val="00EA1704"/>
    <w:rsid w:val="00EA3FC2"/>
    <w:rsid w:val="00EB27D1"/>
    <w:rsid w:val="00EB33FE"/>
    <w:rsid w:val="00EB63DA"/>
    <w:rsid w:val="00EC083F"/>
    <w:rsid w:val="00EC0E7F"/>
    <w:rsid w:val="00ED112A"/>
    <w:rsid w:val="00ED1C2A"/>
    <w:rsid w:val="00ED56DC"/>
    <w:rsid w:val="00ED6FB3"/>
    <w:rsid w:val="00EE10B1"/>
    <w:rsid w:val="00EE2E89"/>
    <w:rsid w:val="00EE4F62"/>
    <w:rsid w:val="00EF08C6"/>
    <w:rsid w:val="00EF2250"/>
    <w:rsid w:val="00EF583E"/>
    <w:rsid w:val="00F01932"/>
    <w:rsid w:val="00F07AF5"/>
    <w:rsid w:val="00F127A9"/>
    <w:rsid w:val="00F158D7"/>
    <w:rsid w:val="00F20F7B"/>
    <w:rsid w:val="00F226AF"/>
    <w:rsid w:val="00F25A52"/>
    <w:rsid w:val="00F26483"/>
    <w:rsid w:val="00F300D4"/>
    <w:rsid w:val="00F32A97"/>
    <w:rsid w:val="00F34AC3"/>
    <w:rsid w:val="00F36FE2"/>
    <w:rsid w:val="00F379C3"/>
    <w:rsid w:val="00F42B66"/>
    <w:rsid w:val="00F43333"/>
    <w:rsid w:val="00F447A0"/>
    <w:rsid w:val="00F44B9D"/>
    <w:rsid w:val="00F46EB8"/>
    <w:rsid w:val="00F472AF"/>
    <w:rsid w:val="00F50457"/>
    <w:rsid w:val="00F5476A"/>
    <w:rsid w:val="00F54DD8"/>
    <w:rsid w:val="00F550A0"/>
    <w:rsid w:val="00F55F0B"/>
    <w:rsid w:val="00F57805"/>
    <w:rsid w:val="00F63152"/>
    <w:rsid w:val="00F63536"/>
    <w:rsid w:val="00F636B8"/>
    <w:rsid w:val="00F64EEB"/>
    <w:rsid w:val="00F64F16"/>
    <w:rsid w:val="00F72E6A"/>
    <w:rsid w:val="00F77C66"/>
    <w:rsid w:val="00F82AEC"/>
    <w:rsid w:val="00F833F5"/>
    <w:rsid w:val="00F91F29"/>
    <w:rsid w:val="00F92826"/>
    <w:rsid w:val="00F9544D"/>
    <w:rsid w:val="00F96043"/>
    <w:rsid w:val="00F96077"/>
    <w:rsid w:val="00F96E22"/>
    <w:rsid w:val="00F97DA9"/>
    <w:rsid w:val="00FA1608"/>
    <w:rsid w:val="00FA1BE4"/>
    <w:rsid w:val="00FA5BC2"/>
    <w:rsid w:val="00FA76B7"/>
    <w:rsid w:val="00FA7B6C"/>
    <w:rsid w:val="00FB3309"/>
    <w:rsid w:val="00FB43C6"/>
    <w:rsid w:val="00FB5B37"/>
    <w:rsid w:val="00FC0F3C"/>
    <w:rsid w:val="00FC0F94"/>
    <w:rsid w:val="00FC3072"/>
    <w:rsid w:val="00FC5C28"/>
    <w:rsid w:val="00FD013F"/>
    <w:rsid w:val="00FD768A"/>
    <w:rsid w:val="00FE15BE"/>
    <w:rsid w:val="00FE16FC"/>
    <w:rsid w:val="00FE1FAF"/>
    <w:rsid w:val="00FE3F08"/>
    <w:rsid w:val="00FE446C"/>
    <w:rsid w:val="00FE5928"/>
    <w:rsid w:val="00FE5C3D"/>
    <w:rsid w:val="00FF0EBE"/>
    <w:rsid w:val="00FF1231"/>
    <w:rsid w:val="00FF5ABF"/>
    <w:rsid w:val="00FF6DFC"/>
    <w:rsid w:val="00FF6EF6"/>
    <w:rsid w:val="00FF7D5D"/>
    <w:rsid w:val="2D99616C"/>
    <w:rsid w:val="4DF26BF1"/>
    <w:rsid w:val="61263682"/>
    <w:rsid w:val="778C41B1"/>
    <w:rsid w:val="7C9E059C"/>
    <w:rsid w:val="7E874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B77969"/>
  <w15:docId w15:val="{7456D6A6-5B5E-4EE8-9382-266D7CCF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lang w:val="it-IT" w:eastAsia="it-IT"/>
    </w:rPr>
  </w:style>
  <w:style w:type="paragraph" w:styleId="Heading1">
    <w:name w:val="heading 1"/>
    <w:basedOn w:val="Normal"/>
    <w:next w:val="Normal"/>
    <w:link w:val="Heading1Char"/>
    <w:uiPriority w:val="9"/>
    <w:qFormat/>
    <w:pPr>
      <w:keepNext/>
      <w:spacing w:before="480" w:after="240"/>
      <w:outlineLvl w:val="0"/>
    </w:pPr>
    <w:rPr>
      <w:b/>
      <w:caps/>
      <w:lang w:bidi="fa-IR"/>
    </w:rPr>
  </w:style>
  <w:style w:type="paragraph" w:styleId="Heading2">
    <w:name w:val="heading 2"/>
    <w:aliases w:val="heading 2,Char14 Char"/>
    <w:basedOn w:val="Normal"/>
    <w:next w:val="Normal"/>
    <w:link w:val="Heading2Char"/>
    <w:uiPriority w:val="9"/>
    <w:qFormat/>
    <w:pPr>
      <w:keepNext/>
      <w:spacing w:before="240" w:after="240"/>
      <w:outlineLvl w:val="1"/>
    </w:pPr>
    <w:rPr>
      <w:b/>
    </w:rPr>
  </w:style>
  <w:style w:type="paragraph" w:styleId="Heading3">
    <w:name w:val="heading 3"/>
    <w:basedOn w:val="Normal"/>
    <w:next w:val="1"/>
    <w:link w:val="Heading3Char"/>
    <w:uiPriority w:val="9"/>
    <w:qFormat/>
    <w:pPr>
      <w:ind w:left="354"/>
      <w:outlineLvl w:val="2"/>
    </w:pPr>
    <w:rPr>
      <w:u w:val="single"/>
    </w:rPr>
  </w:style>
  <w:style w:type="paragraph" w:styleId="Heading4">
    <w:name w:val="heading 4"/>
    <w:basedOn w:val="Normal"/>
    <w:next w:val="Normal"/>
    <w:link w:val="Heading4Char"/>
    <w:uiPriority w:val="9"/>
    <w:unhideWhenUsed/>
    <w:qFormat/>
    <w:rsid w:val="00236B0A"/>
    <w:pPr>
      <w:keepNext/>
      <w:keepLines/>
      <w:spacing w:before="40" w:line="276" w:lineRule="auto"/>
      <w:outlineLvl w:val="3"/>
    </w:pPr>
    <w:rPr>
      <w:rFonts w:ascii="Cambria" w:eastAsia="Times New Roman" w:hAnsi="Cambria"/>
      <w:b/>
      <w:bCs/>
      <w:i/>
      <w:iCs/>
      <w:color w:val="4F81BD"/>
      <w:sz w:val="22"/>
      <w:szCs w:val="22"/>
      <w:lang w:val="en-US" w:eastAsia="en-US"/>
    </w:rPr>
  </w:style>
  <w:style w:type="paragraph" w:styleId="Heading5">
    <w:name w:val="heading 5"/>
    <w:basedOn w:val="Normal"/>
    <w:next w:val="Normal"/>
    <w:link w:val="Heading5Char"/>
    <w:uiPriority w:val="9"/>
    <w:unhideWhenUsed/>
    <w:qFormat/>
    <w:rsid w:val="00236B0A"/>
    <w:pPr>
      <w:keepNext/>
      <w:keepLines/>
      <w:spacing w:before="40" w:line="276" w:lineRule="auto"/>
      <w:outlineLvl w:val="4"/>
    </w:pPr>
    <w:rPr>
      <w:rFonts w:ascii="Cambria" w:eastAsia="Times New Roman" w:hAnsi="Cambria"/>
      <w:color w:val="243F60"/>
      <w:sz w:val="22"/>
      <w:szCs w:val="22"/>
      <w:lang w:val="en-US" w:eastAsia="en-US"/>
    </w:rPr>
  </w:style>
  <w:style w:type="paragraph" w:styleId="Heading6">
    <w:name w:val="heading 6"/>
    <w:basedOn w:val="Normal"/>
    <w:next w:val="Normal"/>
    <w:link w:val="Heading6Char"/>
    <w:uiPriority w:val="9"/>
    <w:qFormat/>
    <w:rsid w:val="00236B0A"/>
    <w:pPr>
      <w:keepNext/>
      <w:keepLines/>
      <w:spacing w:before="200" w:after="40" w:line="276" w:lineRule="auto"/>
      <w:contextualSpacing/>
      <w:outlineLvl w:val="5"/>
    </w:pPr>
    <w:rPr>
      <w:rFonts w:ascii="Calibri" w:eastAsia="Calibri" w:hAnsi="Calibri" w:cs="Calibri"/>
      <w:b/>
      <w:color w:val="000000"/>
      <w:lang w:val="en-US" w:eastAsia="en-US"/>
    </w:rPr>
  </w:style>
  <w:style w:type="paragraph" w:styleId="Heading7">
    <w:name w:val="heading 7"/>
    <w:basedOn w:val="Normal"/>
    <w:next w:val="Normal"/>
    <w:link w:val="Heading7Char"/>
    <w:uiPriority w:val="9"/>
    <w:qFormat/>
    <w:rsid w:val="00A30131"/>
    <w:pPr>
      <w:spacing w:before="240" w:after="60"/>
      <w:outlineLvl w:val="6"/>
    </w:pPr>
    <w:rPr>
      <w:rFonts w:ascii="Times New Roman" w:eastAsiaTheme="majorEastAsia" w:hAnsi="Times New Roman" w:cstheme="majorBidi"/>
      <w:sz w:val="24"/>
      <w:szCs w:val="24"/>
      <w:lang w:val="en-US" w:eastAsia="en-US"/>
    </w:rPr>
  </w:style>
  <w:style w:type="paragraph" w:styleId="Heading8">
    <w:name w:val="heading 8"/>
    <w:basedOn w:val="Normal"/>
    <w:next w:val="Normal"/>
    <w:link w:val="Heading8Char"/>
    <w:uiPriority w:val="9"/>
    <w:unhideWhenUsed/>
    <w:qFormat/>
    <w:rsid w:val="00A30131"/>
    <w:pPr>
      <w:spacing w:before="240" w:after="60"/>
      <w:outlineLvl w:val="7"/>
    </w:pPr>
    <w:rPr>
      <w:rFonts w:ascii="Times New Roman" w:eastAsiaTheme="majorEastAsia" w:hAnsi="Times New Roman" w:cstheme="majorBidi"/>
      <w:i/>
      <w:iCs/>
      <w:sz w:val="24"/>
      <w:szCs w:val="24"/>
      <w:lang w:val="en-US" w:eastAsia="en-US"/>
    </w:rPr>
  </w:style>
  <w:style w:type="paragraph" w:styleId="Heading9">
    <w:name w:val="heading 9"/>
    <w:basedOn w:val="Normal"/>
    <w:next w:val="Normal"/>
    <w:link w:val="Heading9Char"/>
    <w:uiPriority w:val="9"/>
    <w:qFormat/>
    <w:rsid w:val="00A30131"/>
    <w:pPr>
      <w:spacing w:before="240" w:after="60"/>
      <w:outlineLvl w:val="8"/>
    </w:pPr>
    <w:rPr>
      <w:rFonts w:ascii="Arial" w:eastAsiaTheme="majorEastAsia"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Pr>
      <w:rFonts w:ascii="Times" w:hAnsi="Times"/>
      <w:lang w:val="it-IT" w:eastAsia="it-IT"/>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uiPriority w:val="9"/>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qFormat/>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sz w:val="18"/>
      <w:lang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pPr>
      <w:numPr>
        <w:ilvl w:val="3"/>
        <w:numId w:val="2"/>
      </w:numPr>
      <w:spacing w:line="264" w:lineRule="auto"/>
      <w:jc w:val="both"/>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1">
    <w:name w:val="Unresolved Mention1"/>
    <w:basedOn w:val="DefaultParagraphFont"/>
    <w:uiPriority w:val="99"/>
    <w:semiHidden/>
    <w:unhideWhenUsed/>
    <w:rsid w:val="0085306F"/>
    <w:rPr>
      <w:color w:val="605E5C"/>
      <w:shd w:val="clear" w:color="auto" w:fill="E1DFDD"/>
    </w:rPr>
  </w:style>
  <w:style w:type="table" w:customStyle="1" w:styleId="TableGridLight1">
    <w:name w:val="Table Grid Light1"/>
    <w:basedOn w:val="TableNormal"/>
    <w:uiPriority w:val="40"/>
    <w:rsid w:val="00640F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Sub Article,Heading II,List Paragraph (numbered (a)),Numbered List Paragraph,List Paragraph1,List bullet,List Paragraph11,Evidence on Demand bullet points,CEIL PEAKS bullet points,Scriptoria bullet points,bullets,NEW INDENT,references"/>
    <w:basedOn w:val="Normal"/>
    <w:link w:val="ListParagraphChar"/>
    <w:uiPriority w:val="34"/>
    <w:qFormat/>
    <w:rsid w:val="00640FC5"/>
    <w:pPr>
      <w:ind w:firstLineChars="200" w:firstLine="420"/>
    </w:pPr>
  </w:style>
  <w:style w:type="table" w:customStyle="1" w:styleId="TableGrid0">
    <w:name w:val="TableGrid"/>
    <w:rsid w:val="00590344"/>
    <w:rPr>
      <w:rFonts w:asciiTheme="minorHAnsi" w:eastAsiaTheme="minorEastAsia" w:hAnsiTheme="minorHAnsi" w:cstheme="minorBidi"/>
      <w:kern w:val="2"/>
      <w:sz w:val="22"/>
      <w:szCs w:val="22"/>
      <w:lang w:eastAsia="en-US"/>
      <w14:ligatures w14:val="standardContextual"/>
    </w:rPr>
    <w:tblPr>
      <w:tblCellMar>
        <w:top w:w="0" w:type="dxa"/>
        <w:left w:w="0" w:type="dxa"/>
        <w:bottom w:w="0" w:type="dxa"/>
        <w:right w:w="0" w:type="dxa"/>
      </w:tblCellMar>
    </w:tblPr>
  </w:style>
  <w:style w:type="character" w:customStyle="1" w:styleId="markedcontent">
    <w:name w:val="markedcontent"/>
    <w:basedOn w:val="DefaultParagraphFont"/>
    <w:rsid w:val="00D75F1C"/>
  </w:style>
  <w:style w:type="paragraph" w:styleId="Caption">
    <w:name w:val="caption"/>
    <w:basedOn w:val="Normal"/>
    <w:next w:val="Normal"/>
    <w:link w:val="CaptionChar"/>
    <w:uiPriority w:val="35"/>
    <w:unhideWhenUsed/>
    <w:qFormat/>
    <w:rsid w:val="004A29EF"/>
    <w:pPr>
      <w:spacing w:after="200"/>
    </w:pPr>
    <w:rPr>
      <w:b/>
      <w:bCs/>
      <w:color w:val="5B9BD5" w:themeColor="accent1"/>
      <w:sz w:val="18"/>
      <w:szCs w:val="18"/>
    </w:rPr>
  </w:style>
  <w:style w:type="table" w:customStyle="1" w:styleId="LightShading1">
    <w:name w:val="Light Shading1"/>
    <w:basedOn w:val="TableNormal"/>
    <w:uiPriority w:val="60"/>
    <w:rsid w:val="002A4615"/>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4Char">
    <w:name w:val="Heading 4 Char"/>
    <w:basedOn w:val="DefaultParagraphFont"/>
    <w:link w:val="Heading4"/>
    <w:uiPriority w:val="9"/>
    <w:rsid w:val="00236B0A"/>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uiPriority w:val="9"/>
    <w:rsid w:val="00236B0A"/>
    <w:rPr>
      <w:rFonts w:ascii="Cambria" w:eastAsia="Times New Roman" w:hAnsi="Cambria"/>
      <w:color w:val="243F60"/>
      <w:sz w:val="22"/>
      <w:szCs w:val="22"/>
      <w:lang w:eastAsia="en-US"/>
    </w:rPr>
  </w:style>
  <w:style w:type="character" w:customStyle="1" w:styleId="Heading6Char">
    <w:name w:val="Heading 6 Char"/>
    <w:basedOn w:val="DefaultParagraphFont"/>
    <w:link w:val="Heading6"/>
    <w:uiPriority w:val="9"/>
    <w:rsid w:val="00236B0A"/>
    <w:rPr>
      <w:rFonts w:ascii="Calibri" w:eastAsia="Calibri" w:hAnsi="Calibri" w:cs="Calibri"/>
      <w:b/>
      <w:color w:val="000000"/>
      <w:lang w:eastAsia="en-US"/>
    </w:rPr>
  </w:style>
  <w:style w:type="character" w:customStyle="1" w:styleId="ListParagraphChar">
    <w:name w:val="List Paragraph Char"/>
    <w:aliases w:val="Sub Article Char,Heading II Char,List Paragraph (numbered (a)) Char,Numbered List Paragraph Char,List Paragraph1 Char,List bullet Char,List Paragraph11 Char,Evidence on Demand bullet points Char,CEIL PEAKS bullet points Char"/>
    <w:basedOn w:val="DefaultParagraphFont"/>
    <w:link w:val="ListParagraph"/>
    <w:uiPriority w:val="34"/>
    <w:rsid w:val="00236B0A"/>
    <w:rPr>
      <w:rFonts w:ascii="Times" w:hAnsi="Times"/>
      <w:lang w:val="it-IT" w:eastAsia="it-IT"/>
    </w:rPr>
  </w:style>
  <w:style w:type="paragraph" w:styleId="NormalWeb">
    <w:name w:val="Normal (Web)"/>
    <w:aliases w:val="Normal (Web) Char Char Char Char Char"/>
    <w:basedOn w:val="Normal"/>
    <w:link w:val="NormalWebChar"/>
    <w:uiPriority w:val="99"/>
    <w:unhideWhenUsed/>
    <w:qFormat/>
    <w:rsid w:val="00236B0A"/>
    <w:pPr>
      <w:spacing w:before="100" w:beforeAutospacing="1" w:after="100" w:afterAutospacing="1"/>
    </w:pPr>
    <w:rPr>
      <w:rFonts w:ascii="Times New Roman" w:eastAsia="Times New Roman" w:hAnsi="Times New Roman"/>
      <w:sz w:val="24"/>
      <w:szCs w:val="24"/>
      <w:lang w:val="en-US" w:eastAsia="en-US"/>
    </w:rPr>
  </w:style>
  <w:style w:type="paragraph" w:customStyle="1" w:styleId="EndNoteBibliography">
    <w:name w:val="EndNote Bibliography"/>
    <w:basedOn w:val="Normal"/>
    <w:link w:val="EndNoteBibliographyChar"/>
    <w:rsid w:val="00236B0A"/>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236B0A"/>
    <w:rPr>
      <w:rFonts w:ascii="Calibri" w:eastAsia="Calibri" w:hAnsi="Calibri" w:cs="Calibri"/>
      <w:noProof/>
      <w:sz w:val="22"/>
      <w:szCs w:val="22"/>
      <w:lang w:eastAsia="en-US"/>
    </w:rPr>
  </w:style>
  <w:style w:type="paragraph" w:customStyle="1" w:styleId="Heading11">
    <w:name w:val="Heading 11"/>
    <w:basedOn w:val="Normal"/>
    <w:next w:val="Normal"/>
    <w:uiPriority w:val="9"/>
    <w:qFormat/>
    <w:rsid w:val="00236B0A"/>
    <w:pPr>
      <w:keepNext/>
      <w:keepLines/>
      <w:spacing w:before="480" w:line="276" w:lineRule="auto"/>
      <w:outlineLvl w:val="0"/>
    </w:pPr>
    <w:rPr>
      <w:rFonts w:ascii="Cambria" w:eastAsia="Times New Roman" w:hAnsi="Cambria"/>
      <w:b/>
      <w:bCs/>
      <w:color w:val="365F91"/>
      <w:sz w:val="28"/>
      <w:szCs w:val="28"/>
      <w:lang w:val="en-US" w:eastAsia="en-US"/>
    </w:rPr>
  </w:style>
  <w:style w:type="character" w:customStyle="1" w:styleId="Heading2Char">
    <w:name w:val="Heading 2 Char"/>
    <w:aliases w:val="heading 2 Char,Char14 Char Char"/>
    <w:basedOn w:val="DefaultParagraphFont"/>
    <w:link w:val="Heading2"/>
    <w:uiPriority w:val="9"/>
    <w:rsid w:val="00236B0A"/>
    <w:rPr>
      <w:rFonts w:ascii="Times" w:hAnsi="Times"/>
      <w:b/>
      <w:lang w:val="it-IT" w:eastAsia="it-IT"/>
    </w:rPr>
  </w:style>
  <w:style w:type="character" w:customStyle="1" w:styleId="Heading3Char">
    <w:name w:val="Heading 3 Char"/>
    <w:basedOn w:val="DefaultParagraphFont"/>
    <w:link w:val="Heading3"/>
    <w:uiPriority w:val="9"/>
    <w:rsid w:val="00236B0A"/>
    <w:rPr>
      <w:rFonts w:ascii="Times" w:hAnsi="Times"/>
      <w:u w:val="single"/>
      <w:lang w:val="it-IT" w:eastAsia="it-IT"/>
    </w:rPr>
  </w:style>
  <w:style w:type="paragraph" w:customStyle="1" w:styleId="Heading41">
    <w:name w:val="Heading 41"/>
    <w:basedOn w:val="Normal"/>
    <w:next w:val="Normal"/>
    <w:uiPriority w:val="9"/>
    <w:unhideWhenUsed/>
    <w:qFormat/>
    <w:rsid w:val="00236B0A"/>
    <w:pPr>
      <w:keepNext/>
      <w:keepLines/>
      <w:spacing w:before="200" w:line="276" w:lineRule="auto"/>
      <w:outlineLvl w:val="3"/>
    </w:pPr>
    <w:rPr>
      <w:rFonts w:ascii="Cambria" w:eastAsia="Times New Roman" w:hAnsi="Cambria"/>
      <w:b/>
      <w:bCs/>
      <w:i/>
      <w:iCs/>
      <w:color w:val="4F81BD"/>
      <w:sz w:val="22"/>
      <w:szCs w:val="22"/>
      <w:lang w:val="en-US" w:eastAsia="en-US"/>
    </w:rPr>
  </w:style>
  <w:style w:type="paragraph" w:customStyle="1" w:styleId="Heading51">
    <w:name w:val="Heading 51"/>
    <w:basedOn w:val="Normal"/>
    <w:next w:val="Normal"/>
    <w:unhideWhenUsed/>
    <w:qFormat/>
    <w:rsid w:val="00236B0A"/>
    <w:pPr>
      <w:keepNext/>
      <w:keepLines/>
      <w:spacing w:before="200" w:line="276" w:lineRule="auto"/>
      <w:outlineLvl w:val="4"/>
    </w:pPr>
    <w:rPr>
      <w:rFonts w:ascii="Cambria" w:eastAsia="Times New Roman" w:hAnsi="Cambria"/>
      <w:color w:val="243F60"/>
      <w:sz w:val="22"/>
      <w:szCs w:val="22"/>
      <w:lang w:val="en-US" w:eastAsia="en-US"/>
    </w:rPr>
  </w:style>
  <w:style w:type="numbering" w:customStyle="1" w:styleId="NoList1">
    <w:name w:val="No List1"/>
    <w:next w:val="NoList"/>
    <w:uiPriority w:val="99"/>
    <w:semiHidden/>
    <w:unhideWhenUsed/>
    <w:rsid w:val="00236B0A"/>
  </w:style>
  <w:style w:type="character" w:customStyle="1" w:styleId="NormalWebChar">
    <w:name w:val="Normal (Web) Char"/>
    <w:aliases w:val="Normal (Web) Char Char Char Char Char Char"/>
    <w:basedOn w:val="DefaultParagraphFont"/>
    <w:link w:val="NormalWeb"/>
    <w:uiPriority w:val="99"/>
    <w:rsid w:val="00236B0A"/>
    <w:rPr>
      <w:rFonts w:ascii="Times New Roman" w:eastAsia="Times New Roman" w:hAnsi="Times New Roman"/>
      <w:sz w:val="24"/>
      <w:szCs w:val="24"/>
      <w:lang w:eastAsia="en-US"/>
    </w:rPr>
  </w:style>
  <w:style w:type="table" w:customStyle="1" w:styleId="TableGrid1">
    <w:name w:val="Table Grid1"/>
    <w:basedOn w:val="TableNormal"/>
    <w:next w:val="TableGrid"/>
    <w:uiPriority w:val="99"/>
    <w:qFormat/>
    <w:rsid w:val="00236B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rsid w:val="00236B0A"/>
    <w:pPr>
      <w:ind w:left="720"/>
      <w:contextualSpacing/>
    </w:pPr>
    <w:rPr>
      <w:rFonts w:ascii="Times New Roman" w:eastAsia="Times New Roman" w:hAnsi="Times New Roman"/>
      <w:sz w:val="24"/>
      <w:szCs w:val="24"/>
      <w:lang w:val="en-US" w:eastAsia="en-US"/>
    </w:rPr>
  </w:style>
  <w:style w:type="paragraph" w:customStyle="1" w:styleId="Title1">
    <w:name w:val="Title1"/>
    <w:basedOn w:val="Normal"/>
    <w:next w:val="Normal"/>
    <w:uiPriority w:val="10"/>
    <w:qFormat/>
    <w:rsid w:val="00236B0A"/>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236B0A"/>
    <w:rPr>
      <w:rFonts w:ascii="Cambria" w:eastAsia="Times New Roman" w:hAnsi="Cambria"/>
      <w:color w:val="17365D"/>
      <w:spacing w:val="5"/>
      <w:kern w:val="28"/>
      <w:sz w:val="52"/>
      <w:szCs w:val="52"/>
    </w:rPr>
  </w:style>
  <w:style w:type="paragraph" w:customStyle="1" w:styleId="EndNoteCategoryHeading">
    <w:name w:val="EndNote Category Heading"/>
    <w:basedOn w:val="Normal"/>
    <w:link w:val="EndNoteCategoryHeadingChar"/>
    <w:rsid w:val="00236B0A"/>
    <w:pPr>
      <w:autoSpaceDE w:val="0"/>
      <w:autoSpaceDN w:val="0"/>
      <w:adjustRightInd w:val="0"/>
      <w:spacing w:before="120" w:beforeAutospacing="1" w:after="120" w:afterAutospacing="1" w:line="360" w:lineRule="auto"/>
    </w:pPr>
    <w:rPr>
      <w:rFonts w:ascii="Times New Roman" w:eastAsia="Times New Roman" w:hAnsi="Times New Roman"/>
      <w:b/>
      <w:noProof/>
      <w:sz w:val="24"/>
      <w:szCs w:val="24"/>
      <w:lang w:val="en-GB" w:eastAsia="en-GB"/>
    </w:rPr>
  </w:style>
  <w:style w:type="character" w:customStyle="1" w:styleId="EndNoteCategoryHeadingChar">
    <w:name w:val="EndNote Category Heading Char"/>
    <w:link w:val="EndNoteCategoryHeading"/>
    <w:rsid w:val="00236B0A"/>
    <w:rPr>
      <w:rFonts w:ascii="Times New Roman" w:eastAsia="Times New Roman" w:hAnsi="Times New Roman"/>
      <w:b/>
      <w:noProof/>
      <w:sz w:val="24"/>
      <w:szCs w:val="24"/>
      <w:lang w:val="en-GB" w:eastAsia="en-GB"/>
    </w:rPr>
  </w:style>
  <w:style w:type="character" w:customStyle="1" w:styleId="got">
    <w:name w:val="got"/>
    <w:rsid w:val="00236B0A"/>
  </w:style>
  <w:style w:type="character" w:customStyle="1" w:styleId="fontstyle01">
    <w:name w:val="fontstyle01"/>
    <w:rsid w:val="00236B0A"/>
    <w:rPr>
      <w:rFonts w:ascii="Times-Roman" w:hAnsi="Times-Roman" w:hint="default"/>
      <w:b w:val="0"/>
      <w:bCs w:val="0"/>
      <w:i w:val="0"/>
      <w:iCs w:val="0"/>
      <w:color w:val="000000"/>
      <w:sz w:val="24"/>
      <w:szCs w:val="24"/>
    </w:rPr>
  </w:style>
  <w:style w:type="paragraph" w:styleId="Subtitle">
    <w:name w:val="Subtitle"/>
    <w:basedOn w:val="Normal"/>
    <w:next w:val="Normal"/>
    <w:link w:val="SubtitleChar"/>
    <w:uiPriority w:val="11"/>
    <w:qFormat/>
    <w:rsid w:val="00236B0A"/>
    <w:pPr>
      <w:keepNext/>
      <w:keepLines/>
      <w:spacing w:before="360" w:after="80" w:line="276" w:lineRule="auto"/>
      <w:contextualSpacing/>
    </w:pPr>
    <w:rPr>
      <w:rFonts w:ascii="Georgia" w:eastAsia="Georgia" w:hAnsi="Georgia" w:cs="Georgia"/>
      <w:i/>
      <w:color w:val="666666"/>
      <w:sz w:val="48"/>
      <w:szCs w:val="48"/>
      <w:lang w:val="en-US" w:eastAsia="en-US"/>
    </w:rPr>
  </w:style>
  <w:style w:type="character" w:customStyle="1" w:styleId="SubtitleChar">
    <w:name w:val="Subtitle Char"/>
    <w:basedOn w:val="DefaultParagraphFont"/>
    <w:link w:val="Subtitle"/>
    <w:uiPriority w:val="11"/>
    <w:rsid w:val="00236B0A"/>
    <w:rPr>
      <w:rFonts w:ascii="Georgia" w:eastAsia="Georgia" w:hAnsi="Georgia" w:cs="Georgia"/>
      <w:i/>
      <w:color w:val="666666"/>
      <w:sz w:val="48"/>
      <w:szCs w:val="48"/>
      <w:lang w:eastAsia="en-US"/>
    </w:rPr>
  </w:style>
  <w:style w:type="paragraph" w:styleId="TOC2">
    <w:name w:val="toc 2"/>
    <w:basedOn w:val="Normal"/>
    <w:next w:val="Normal"/>
    <w:autoRedefine/>
    <w:uiPriority w:val="39"/>
    <w:unhideWhenUsed/>
    <w:qFormat/>
    <w:rsid w:val="00236B0A"/>
    <w:pPr>
      <w:spacing w:after="200" w:line="360" w:lineRule="auto"/>
      <w:ind w:left="220"/>
    </w:pPr>
    <w:rPr>
      <w:rFonts w:ascii="Times New Roman" w:eastAsia="Calibri" w:hAnsi="Times New Roman" w:cs="Calibri"/>
      <w:color w:val="000000"/>
      <w:sz w:val="24"/>
      <w:szCs w:val="22"/>
      <w:lang w:val="en-US" w:eastAsia="en-US"/>
    </w:rPr>
  </w:style>
  <w:style w:type="paragraph" w:styleId="TOC1">
    <w:name w:val="toc 1"/>
    <w:basedOn w:val="Normal"/>
    <w:next w:val="Normal"/>
    <w:autoRedefine/>
    <w:uiPriority w:val="39"/>
    <w:unhideWhenUsed/>
    <w:qFormat/>
    <w:rsid w:val="00236B0A"/>
    <w:pPr>
      <w:spacing w:after="200" w:line="360" w:lineRule="auto"/>
    </w:pPr>
    <w:rPr>
      <w:rFonts w:ascii="Times New Roman" w:eastAsia="Calibri" w:hAnsi="Times New Roman" w:cs="Calibri"/>
      <w:color w:val="000000"/>
      <w:sz w:val="24"/>
      <w:szCs w:val="22"/>
      <w:lang w:val="en-US" w:eastAsia="en-US"/>
    </w:rPr>
  </w:style>
  <w:style w:type="paragraph" w:styleId="TOC3">
    <w:name w:val="toc 3"/>
    <w:basedOn w:val="Normal"/>
    <w:next w:val="Normal"/>
    <w:autoRedefine/>
    <w:uiPriority w:val="39"/>
    <w:unhideWhenUsed/>
    <w:qFormat/>
    <w:rsid w:val="00236B0A"/>
    <w:pPr>
      <w:spacing w:after="200" w:line="360" w:lineRule="auto"/>
      <w:ind w:left="440"/>
    </w:pPr>
    <w:rPr>
      <w:rFonts w:ascii="Times New Roman" w:eastAsia="Calibri" w:hAnsi="Times New Roman" w:cs="Calibri"/>
      <w:color w:val="000000"/>
      <w:sz w:val="24"/>
      <w:szCs w:val="22"/>
      <w:lang w:val="en-US" w:eastAsia="en-US"/>
    </w:rPr>
  </w:style>
  <w:style w:type="table" w:customStyle="1" w:styleId="TableGrid11">
    <w:name w:val="Table Grid11"/>
    <w:basedOn w:val="TableNormal"/>
    <w:next w:val="TableGrid"/>
    <w:uiPriority w:val="59"/>
    <w:rsid w:val="00236B0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Tables i appendices,Appendix Table"/>
    <w:basedOn w:val="Normal"/>
    <w:next w:val="Normal"/>
    <w:link w:val="TableofFiguresChar"/>
    <w:autoRedefine/>
    <w:uiPriority w:val="99"/>
    <w:unhideWhenUsed/>
    <w:qFormat/>
    <w:rsid w:val="00236B0A"/>
    <w:pPr>
      <w:spacing w:after="200" w:line="360" w:lineRule="auto"/>
    </w:pPr>
    <w:rPr>
      <w:rFonts w:ascii="Times New Roman" w:eastAsia="Calibri" w:hAnsi="Times New Roman" w:cs="Calibri"/>
      <w:sz w:val="24"/>
      <w:szCs w:val="22"/>
      <w:lang w:val="en-US" w:eastAsia="en-US"/>
    </w:rPr>
  </w:style>
  <w:style w:type="character" w:customStyle="1" w:styleId="Heading1Char1">
    <w:name w:val="Heading 1 Char1"/>
    <w:basedOn w:val="DefaultParagraphFont"/>
    <w:uiPriority w:val="9"/>
    <w:rsid w:val="00236B0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6B0A"/>
    <w:pPr>
      <w:keepLines/>
      <w:spacing w:after="0" w:line="276" w:lineRule="auto"/>
      <w:outlineLvl w:val="9"/>
    </w:pPr>
    <w:rPr>
      <w:rFonts w:asciiTheme="majorHAnsi" w:eastAsiaTheme="majorEastAsia" w:hAnsiTheme="majorHAnsi" w:cstheme="majorBidi"/>
      <w:bCs/>
      <w:caps w:val="0"/>
      <w:color w:val="2E74B5" w:themeColor="accent1" w:themeShade="BF"/>
      <w:sz w:val="28"/>
      <w:szCs w:val="28"/>
      <w:lang w:val="en-US" w:eastAsia="en-US" w:bidi="ar-SA"/>
    </w:rPr>
  </w:style>
  <w:style w:type="paragraph" w:styleId="EndnoteText">
    <w:name w:val="endnote text"/>
    <w:basedOn w:val="Normal"/>
    <w:link w:val="EndnoteTextChar"/>
    <w:uiPriority w:val="99"/>
    <w:semiHidden/>
    <w:unhideWhenUsed/>
    <w:rsid w:val="00236B0A"/>
    <w:rPr>
      <w:rFonts w:ascii="Calibri" w:eastAsia="Calibri" w:hAnsi="Calibri"/>
      <w:lang w:val="en-US" w:eastAsia="en-US"/>
    </w:rPr>
  </w:style>
  <w:style w:type="character" w:customStyle="1" w:styleId="EndnoteTextChar">
    <w:name w:val="Endnote Text Char"/>
    <w:basedOn w:val="DefaultParagraphFont"/>
    <w:link w:val="EndnoteText"/>
    <w:uiPriority w:val="99"/>
    <w:semiHidden/>
    <w:rsid w:val="00236B0A"/>
    <w:rPr>
      <w:rFonts w:ascii="Calibri" w:eastAsia="Calibri" w:hAnsi="Calibri"/>
      <w:lang w:eastAsia="en-US"/>
    </w:rPr>
  </w:style>
  <w:style w:type="character" w:styleId="EndnoteReference">
    <w:name w:val="endnote reference"/>
    <w:basedOn w:val="DefaultParagraphFont"/>
    <w:uiPriority w:val="99"/>
    <w:semiHidden/>
    <w:unhideWhenUsed/>
    <w:rsid w:val="00236B0A"/>
    <w:rPr>
      <w:vertAlign w:val="superscript"/>
    </w:rPr>
  </w:style>
  <w:style w:type="paragraph" w:styleId="FootnoteText">
    <w:name w:val="footnote text"/>
    <w:basedOn w:val="Normal"/>
    <w:link w:val="FootnoteTextChar"/>
    <w:uiPriority w:val="99"/>
    <w:semiHidden/>
    <w:unhideWhenUsed/>
    <w:rsid w:val="00236B0A"/>
    <w:rPr>
      <w:rFonts w:ascii="Calibri" w:eastAsia="Calibri" w:hAnsi="Calibri"/>
      <w:lang w:val="en-US" w:eastAsia="en-US"/>
    </w:rPr>
  </w:style>
  <w:style w:type="character" w:customStyle="1" w:styleId="FootnoteTextChar">
    <w:name w:val="Footnote Text Char"/>
    <w:basedOn w:val="DefaultParagraphFont"/>
    <w:link w:val="FootnoteText"/>
    <w:uiPriority w:val="99"/>
    <w:semiHidden/>
    <w:rsid w:val="00236B0A"/>
    <w:rPr>
      <w:rFonts w:ascii="Calibri" w:eastAsia="Calibri" w:hAnsi="Calibri"/>
      <w:lang w:eastAsia="en-US"/>
    </w:rPr>
  </w:style>
  <w:style w:type="character" w:styleId="FootnoteReference">
    <w:name w:val="footnote reference"/>
    <w:basedOn w:val="DefaultParagraphFont"/>
    <w:uiPriority w:val="99"/>
    <w:semiHidden/>
    <w:unhideWhenUsed/>
    <w:rsid w:val="00236B0A"/>
    <w:rPr>
      <w:vertAlign w:val="superscript"/>
    </w:rPr>
  </w:style>
  <w:style w:type="paragraph" w:customStyle="1" w:styleId="Author">
    <w:name w:val="Author"/>
    <w:basedOn w:val="Normal"/>
    <w:rsid w:val="00236B0A"/>
    <w:pPr>
      <w:spacing w:line="280" w:lineRule="exact"/>
      <w:jc w:val="right"/>
    </w:pPr>
    <w:rPr>
      <w:rFonts w:ascii="Helvetica" w:eastAsia="Times New Roman" w:hAnsi="Helvetica"/>
      <w:b/>
      <w:sz w:val="24"/>
      <w:lang w:val="en-US" w:eastAsia="en-US"/>
    </w:rPr>
  </w:style>
  <w:style w:type="paragraph" w:customStyle="1" w:styleId="Affiliation">
    <w:name w:val="Affiliation"/>
    <w:basedOn w:val="Normal"/>
    <w:rsid w:val="00236B0A"/>
    <w:pPr>
      <w:spacing w:after="240" w:line="240" w:lineRule="exact"/>
      <w:jc w:val="right"/>
    </w:pPr>
    <w:rPr>
      <w:rFonts w:ascii="Helvetica" w:eastAsia="Times New Roman" w:hAnsi="Helvetica"/>
      <w:lang w:val="en-US" w:eastAsia="en-US"/>
    </w:rPr>
  </w:style>
  <w:style w:type="character" w:customStyle="1" w:styleId="apple-converted-space">
    <w:name w:val="apple-converted-space"/>
    <w:basedOn w:val="DefaultParagraphFont"/>
    <w:rsid w:val="00236B0A"/>
  </w:style>
  <w:style w:type="table" w:customStyle="1" w:styleId="GridTable1Light1">
    <w:name w:val="Grid Table 1 Light1"/>
    <w:basedOn w:val="TableNormal"/>
    <w:uiPriority w:val="46"/>
    <w:rsid w:val="00236B0A"/>
    <w:rPr>
      <w:rFonts w:asciiTheme="minorHAnsi" w:eastAsia="Times New Roman"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Revision">
    <w:name w:val="Revision"/>
    <w:hidden/>
    <w:uiPriority w:val="99"/>
    <w:semiHidden/>
    <w:rsid w:val="00236B0A"/>
    <w:rPr>
      <w:rFonts w:ascii="Calibri" w:eastAsia="Calibri" w:hAnsi="Calibri"/>
      <w:sz w:val="22"/>
      <w:szCs w:val="22"/>
      <w:lang w:eastAsia="en-US"/>
    </w:rPr>
  </w:style>
  <w:style w:type="table" w:customStyle="1" w:styleId="GridTable5Dark1">
    <w:name w:val="Grid Table 5 Dark1"/>
    <w:basedOn w:val="TableNormal"/>
    <w:uiPriority w:val="50"/>
    <w:rsid w:val="00236B0A"/>
    <w:rPr>
      <w:rFonts w:ascii="Times New Roman" w:eastAsia="Calibri"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GridLight10">
    <w:name w:val="Table Grid Light1"/>
    <w:basedOn w:val="TableNormal"/>
    <w:uiPriority w:val="40"/>
    <w:rsid w:val="00236B0A"/>
    <w:rPr>
      <w:rFonts w:ascii="Times New Roman" w:eastAsia="Calibri" w:hAnsi="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21">
    <w:name w:val="fontstyle21"/>
    <w:basedOn w:val="DefaultParagraphFont"/>
    <w:rsid w:val="00236B0A"/>
    <w:rPr>
      <w:rFonts w:ascii="Universal-GreekwithMathPi" w:hAnsi="Universal-GreekwithMathPi" w:hint="default"/>
      <w:b w:val="0"/>
      <w:bCs w:val="0"/>
      <w:i w:val="0"/>
      <w:iCs w:val="0"/>
      <w:color w:val="231F20"/>
      <w:sz w:val="20"/>
      <w:szCs w:val="20"/>
    </w:rPr>
  </w:style>
  <w:style w:type="character" w:customStyle="1" w:styleId="fontstyle31">
    <w:name w:val="fontstyle31"/>
    <w:basedOn w:val="DefaultParagraphFont"/>
    <w:rsid w:val="00236B0A"/>
    <w:rPr>
      <w:rFonts w:ascii="Times-Italic" w:hAnsi="Times-Italic" w:hint="default"/>
      <w:b w:val="0"/>
      <w:bCs w:val="0"/>
      <w:i/>
      <w:iCs/>
      <w:color w:val="231F20"/>
      <w:sz w:val="20"/>
      <w:szCs w:val="20"/>
    </w:rPr>
  </w:style>
  <w:style w:type="character" w:customStyle="1" w:styleId="text0">
    <w:name w:val="text"/>
    <w:basedOn w:val="DefaultParagraphFont"/>
    <w:rsid w:val="00236B0A"/>
  </w:style>
  <w:style w:type="character" w:customStyle="1" w:styleId="author-ref">
    <w:name w:val="author-ref"/>
    <w:basedOn w:val="DefaultParagraphFont"/>
    <w:rsid w:val="00236B0A"/>
  </w:style>
  <w:style w:type="character" w:styleId="Strong">
    <w:name w:val="Strong"/>
    <w:basedOn w:val="DefaultParagraphFont"/>
    <w:uiPriority w:val="22"/>
    <w:qFormat/>
    <w:rsid w:val="00236B0A"/>
    <w:rPr>
      <w:b/>
      <w:bCs/>
    </w:rPr>
  </w:style>
  <w:style w:type="paragraph" w:customStyle="1" w:styleId="m1265956658505256182gmail-msolistparagraph">
    <w:name w:val="m_1265956658505256182gmail-msolistparagraph"/>
    <w:basedOn w:val="Normal"/>
    <w:rsid w:val="00236B0A"/>
    <w:pPr>
      <w:spacing w:before="100" w:beforeAutospacing="1" w:after="100" w:afterAutospacing="1"/>
    </w:pPr>
    <w:rPr>
      <w:rFonts w:ascii="Times New Roman" w:eastAsia="Times New Roman" w:hAnsi="Times New Roman"/>
      <w:sz w:val="24"/>
      <w:szCs w:val="24"/>
      <w:lang w:val="en-US" w:eastAsia="en-US"/>
    </w:rPr>
  </w:style>
  <w:style w:type="character" w:customStyle="1" w:styleId="mlxttrn">
    <w:name w:val="mlxt_trn"/>
    <w:basedOn w:val="DefaultParagraphFont"/>
    <w:rsid w:val="00236B0A"/>
  </w:style>
  <w:style w:type="numbering" w:customStyle="1" w:styleId="NoList11">
    <w:name w:val="No List11"/>
    <w:next w:val="NoList"/>
    <w:uiPriority w:val="99"/>
    <w:semiHidden/>
    <w:unhideWhenUsed/>
    <w:rsid w:val="00236B0A"/>
  </w:style>
  <w:style w:type="paragraph" w:styleId="NoSpacing">
    <w:name w:val="No Spacing"/>
    <w:link w:val="NoSpacingChar"/>
    <w:uiPriority w:val="1"/>
    <w:qFormat/>
    <w:rsid w:val="00236B0A"/>
    <w:rPr>
      <w:rFonts w:ascii="Calibri" w:eastAsia="Calibri" w:hAnsi="Calibri"/>
      <w:sz w:val="22"/>
      <w:szCs w:val="22"/>
      <w:lang w:eastAsia="en-US"/>
    </w:rPr>
  </w:style>
  <w:style w:type="table" w:customStyle="1" w:styleId="TableGrid2">
    <w:name w:val="Table Grid2"/>
    <w:basedOn w:val="TableNormal"/>
    <w:next w:val="TableGrid"/>
    <w:uiPriority w:val="59"/>
    <w:rsid w:val="00236B0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36B0A"/>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9">
    <w:name w:val="Pa9"/>
    <w:basedOn w:val="Normal"/>
    <w:next w:val="Normal"/>
    <w:uiPriority w:val="99"/>
    <w:rsid w:val="00236B0A"/>
    <w:pPr>
      <w:autoSpaceDE w:val="0"/>
      <w:autoSpaceDN w:val="0"/>
      <w:adjustRightInd w:val="0"/>
      <w:spacing w:line="221" w:lineRule="atLeast"/>
    </w:pPr>
    <w:rPr>
      <w:rFonts w:ascii="Garamond Premr Pro" w:eastAsia="Calibri" w:hAnsi="Garamond Premr Pro"/>
      <w:sz w:val="24"/>
      <w:szCs w:val="24"/>
      <w:lang w:val="en-US" w:eastAsia="en-US"/>
    </w:rPr>
  </w:style>
  <w:style w:type="numbering" w:customStyle="1" w:styleId="NoList2">
    <w:name w:val="No List2"/>
    <w:next w:val="NoList"/>
    <w:uiPriority w:val="99"/>
    <w:semiHidden/>
    <w:unhideWhenUsed/>
    <w:rsid w:val="00236B0A"/>
  </w:style>
  <w:style w:type="paragraph" w:customStyle="1" w:styleId="Pa12">
    <w:name w:val="Pa12"/>
    <w:basedOn w:val="Normal"/>
    <w:next w:val="Normal"/>
    <w:uiPriority w:val="99"/>
    <w:rsid w:val="00236B0A"/>
    <w:pPr>
      <w:autoSpaceDE w:val="0"/>
      <w:autoSpaceDN w:val="0"/>
      <w:adjustRightInd w:val="0"/>
      <w:spacing w:line="221" w:lineRule="atLeast"/>
    </w:pPr>
    <w:rPr>
      <w:rFonts w:ascii="Times New Roman" w:eastAsia="Calibri" w:hAnsi="Times New Roman"/>
      <w:sz w:val="24"/>
      <w:szCs w:val="24"/>
      <w:lang w:val="en-US" w:eastAsia="en-US"/>
    </w:rPr>
  </w:style>
  <w:style w:type="paragraph" w:customStyle="1" w:styleId="Pa4">
    <w:name w:val="Pa4"/>
    <w:basedOn w:val="Default"/>
    <w:next w:val="Default"/>
    <w:uiPriority w:val="99"/>
    <w:rsid w:val="00236B0A"/>
  </w:style>
  <w:style w:type="character" w:customStyle="1" w:styleId="A9">
    <w:name w:val="A9"/>
    <w:uiPriority w:val="99"/>
    <w:rsid w:val="00236B0A"/>
    <w:rPr>
      <w:rFonts w:cs="Minion Pro"/>
      <w:b/>
      <w:bCs/>
      <w:color w:val="000000"/>
      <w:sz w:val="22"/>
      <w:szCs w:val="22"/>
    </w:rPr>
  </w:style>
  <w:style w:type="character" w:customStyle="1" w:styleId="A10">
    <w:name w:val="A10"/>
    <w:uiPriority w:val="99"/>
    <w:rsid w:val="00236B0A"/>
    <w:rPr>
      <w:rFonts w:ascii="Cambria" w:hAnsi="Cambria" w:cs="Cambria"/>
      <w:color w:val="000000"/>
      <w:sz w:val="18"/>
      <w:szCs w:val="18"/>
    </w:rPr>
  </w:style>
  <w:style w:type="character" w:customStyle="1" w:styleId="A0">
    <w:name w:val="A0"/>
    <w:uiPriority w:val="99"/>
    <w:rsid w:val="00236B0A"/>
    <w:rPr>
      <w:color w:val="000000"/>
      <w:sz w:val="16"/>
      <w:szCs w:val="16"/>
    </w:rPr>
  </w:style>
  <w:style w:type="character" w:styleId="HTMLCite">
    <w:name w:val="HTML Cite"/>
    <w:basedOn w:val="DefaultParagraphFont"/>
    <w:uiPriority w:val="99"/>
    <w:semiHidden/>
    <w:unhideWhenUsed/>
    <w:rsid w:val="00236B0A"/>
    <w:rPr>
      <w:i/>
      <w:iCs/>
    </w:rPr>
  </w:style>
  <w:style w:type="character" w:customStyle="1" w:styleId="UnresolvedMention10">
    <w:name w:val="Unresolved Mention1"/>
    <w:basedOn w:val="DefaultParagraphFont"/>
    <w:uiPriority w:val="99"/>
    <w:semiHidden/>
    <w:unhideWhenUsed/>
    <w:rsid w:val="00236B0A"/>
    <w:rPr>
      <w:color w:val="605E5C"/>
      <w:shd w:val="clear" w:color="auto" w:fill="E1DFDD"/>
    </w:rPr>
  </w:style>
  <w:style w:type="character" w:customStyle="1" w:styleId="e24kjd">
    <w:name w:val="e24kjd"/>
    <w:basedOn w:val="DefaultParagraphFont"/>
    <w:rsid w:val="00236B0A"/>
  </w:style>
  <w:style w:type="numbering" w:customStyle="1" w:styleId="NoList3">
    <w:name w:val="No List3"/>
    <w:next w:val="NoList"/>
    <w:uiPriority w:val="99"/>
    <w:semiHidden/>
    <w:unhideWhenUsed/>
    <w:rsid w:val="00236B0A"/>
  </w:style>
  <w:style w:type="character" w:customStyle="1" w:styleId="fontstyle11">
    <w:name w:val="fontstyle11"/>
    <w:basedOn w:val="DefaultParagraphFont"/>
    <w:rsid w:val="00236B0A"/>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236B0A"/>
    <w:rPr>
      <w:rFonts w:ascii="Times-Roman" w:hAnsi="Times-Roman" w:hint="default"/>
      <w:b w:val="0"/>
      <w:bCs w:val="0"/>
      <w:i w:val="0"/>
      <w:iCs w:val="0"/>
      <w:color w:val="000000"/>
      <w:sz w:val="20"/>
      <w:szCs w:val="20"/>
    </w:rPr>
  </w:style>
  <w:style w:type="character" w:customStyle="1" w:styleId="gnkrckgcgsb">
    <w:name w:val="gnkrckgcgsb"/>
    <w:basedOn w:val="DefaultParagraphFont"/>
    <w:rsid w:val="00236B0A"/>
  </w:style>
  <w:style w:type="paragraph" w:styleId="HTMLPreformatted">
    <w:name w:val="HTML Preformatted"/>
    <w:basedOn w:val="Normal"/>
    <w:link w:val="HTMLPreformattedChar"/>
    <w:uiPriority w:val="99"/>
    <w:unhideWhenUsed/>
    <w:rsid w:val="00236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236B0A"/>
    <w:rPr>
      <w:rFonts w:ascii="Courier New" w:eastAsia="Times New Roman" w:hAnsi="Courier New" w:cs="Courier New"/>
      <w:lang w:eastAsia="en-US"/>
    </w:rPr>
  </w:style>
  <w:style w:type="paragraph" w:customStyle="1" w:styleId="EndNoteBibliographyTitle">
    <w:name w:val="EndNote Bibliography Title"/>
    <w:basedOn w:val="Normal"/>
    <w:link w:val="EndNoteBibliographyTitleChar"/>
    <w:rsid w:val="00236B0A"/>
    <w:pPr>
      <w:spacing w:line="276" w:lineRule="auto"/>
      <w:jc w:val="center"/>
    </w:pPr>
    <w:rPr>
      <w:rFonts w:ascii="Calibri" w:eastAsia="Times New Roman"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236B0A"/>
    <w:rPr>
      <w:rFonts w:ascii="Calibri" w:eastAsia="Times New Roman" w:hAnsi="Calibri" w:cs="Calibri"/>
      <w:noProof/>
      <w:sz w:val="22"/>
      <w:szCs w:val="22"/>
      <w:lang w:eastAsia="en-US"/>
    </w:rPr>
  </w:style>
  <w:style w:type="character" w:customStyle="1" w:styleId="ilfuvd">
    <w:name w:val="ilfuvd"/>
    <w:basedOn w:val="DefaultParagraphFont"/>
    <w:rsid w:val="00236B0A"/>
  </w:style>
  <w:style w:type="numbering" w:customStyle="1" w:styleId="NoList4">
    <w:name w:val="No List4"/>
    <w:next w:val="NoList"/>
    <w:uiPriority w:val="99"/>
    <w:semiHidden/>
    <w:unhideWhenUsed/>
    <w:rsid w:val="00236B0A"/>
  </w:style>
  <w:style w:type="table" w:customStyle="1" w:styleId="TableGrid3">
    <w:name w:val="Table Grid3"/>
    <w:basedOn w:val="TableNormal"/>
    <w:next w:val="TableGrid"/>
    <w:uiPriority w:val="59"/>
    <w:rsid w:val="00236B0A"/>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1">
    <w:name w:val="Light Shading - Accent 31"/>
    <w:basedOn w:val="TableNormal"/>
    <w:next w:val="LightShading-Accent3"/>
    <w:uiPriority w:val="60"/>
    <w:rsid w:val="00236B0A"/>
    <w:rPr>
      <w:rFonts w:asciiTheme="minorHAnsi" w:eastAsiaTheme="minorHAnsi" w:hAnsiTheme="minorHAnsi" w:cstheme="minorBid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31">
    <w:name w:val="Medium List 1 - Accent 31"/>
    <w:basedOn w:val="TableNormal"/>
    <w:next w:val="MediumList1-Accent3"/>
    <w:uiPriority w:val="65"/>
    <w:rsid w:val="00236B0A"/>
    <w:rPr>
      <w:rFonts w:asciiTheme="minorHAnsi" w:eastAsiaTheme="minorHAnsi" w:hAnsiTheme="minorHAnsi" w:cstheme="minorBidi"/>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PlainText">
    <w:name w:val="Plain Text"/>
    <w:basedOn w:val="Normal"/>
    <w:link w:val="PlainTextChar"/>
    <w:uiPriority w:val="99"/>
    <w:unhideWhenUsed/>
    <w:rsid w:val="00236B0A"/>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236B0A"/>
    <w:rPr>
      <w:rFonts w:ascii="Consolas" w:eastAsia="Calibri" w:hAnsi="Consolas" w:cs="Consolas"/>
      <w:sz w:val="21"/>
      <w:szCs w:val="21"/>
      <w:lang w:eastAsia="en-US"/>
    </w:rPr>
  </w:style>
  <w:style w:type="table" w:customStyle="1" w:styleId="Style1">
    <w:name w:val="Style1"/>
    <w:basedOn w:val="TableNormal"/>
    <w:uiPriority w:val="99"/>
    <w:qFormat/>
    <w:rsid w:val="00236B0A"/>
    <w:rPr>
      <w:rFonts w:asciiTheme="minorHAnsi" w:eastAsiaTheme="minorHAnsi" w:hAnsiTheme="minorHAnsi" w:cstheme="minorBidi"/>
      <w:sz w:val="22"/>
      <w:szCs w:val="22"/>
      <w:lang w:eastAsia="en-US"/>
    </w:rPr>
    <w:tblPr/>
  </w:style>
  <w:style w:type="table" w:customStyle="1" w:styleId="TableGrid111">
    <w:name w:val="Table Grid111"/>
    <w:basedOn w:val="TableNormal"/>
    <w:next w:val="TableGrid"/>
    <w:uiPriority w:val="59"/>
    <w:rsid w:val="00236B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36B0A"/>
  </w:style>
  <w:style w:type="numbering" w:customStyle="1" w:styleId="NoList5">
    <w:name w:val="No List5"/>
    <w:next w:val="NoList"/>
    <w:uiPriority w:val="99"/>
    <w:semiHidden/>
    <w:unhideWhenUsed/>
    <w:rsid w:val="00236B0A"/>
  </w:style>
  <w:style w:type="table" w:customStyle="1" w:styleId="TableGrid4">
    <w:name w:val="Table Grid4"/>
    <w:basedOn w:val="TableNormal"/>
    <w:next w:val="TableGrid"/>
    <w:uiPriority w:val="59"/>
    <w:rsid w:val="00236B0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DefaultParagraphFont"/>
    <w:rsid w:val="00236B0A"/>
  </w:style>
  <w:style w:type="character" w:customStyle="1" w:styleId="SubtleReference1">
    <w:name w:val="Subtle Reference1"/>
    <w:basedOn w:val="DefaultParagraphFont"/>
    <w:uiPriority w:val="31"/>
    <w:qFormat/>
    <w:rsid w:val="00236B0A"/>
    <w:rPr>
      <w:smallCaps/>
      <w:color w:val="C0504D"/>
      <w:u w:val="single"/>
    </w:rPr>
  </w:style>
  <w:style w:type="numbering" w:customStyle="1" w:styleId="NoList6">
    <w:name w:val="No List6"/>
    <w:next w:val="NoList"/>
    <w:uiPriority w:val="99"/>
    <w:semiHidden/>
    <w:unhideWhenUsed/>
    <w:rsid w:val="00236B0A"/>
  </w:style>
  <w:style w:type="character" w:styleId="PlaceholderText">
    <w:name w:val="Placeholder Text"/>
    <w:basedOn w:val="DefaultParagraphFont"/>
    <w:uiPriority w:val="99"/>
    <w:semiHidden/>
    <w:rsid w:val="00236B0A"/>
    <w:rPr>
      <w:color w:val="808080"/>
    </w:rPr>
  </w:style>
  <w:style w:type="table" w:customStyle="1" w:styleId="PlainTable41">
    <w:name w:val="Plain Table 41"/>
    <w:basedOn w:val="TableNormal"/>
    <w:uiPriority w:val="44"/>
    <w:rsid w:val="00236B0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1">
    <w:name w:val="Grid Table 1 Light11"/>
    <w:basedOn w:val="TableNormal"/>
    <w:uiPriority w:val="46"/>
    <w:rsid w:val="00236B0A"/>
    <w:rPr>
      <w:rFonts w:asciiTheme="minorHAnsi" w:eastAsia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236B0A"/>
    <w:rPr>
      <w:rFonts w:asciiTheme="minorHAnsi" w:eastAsiaTheme="minorHAnsi" w:hAnsiTheme="minorHAnsi" w:cstheme="minorBid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
    <w:name w:val="Table Grid Light11"/>
    <w:basedOn w:val="TableNormal"/>
    <w:uiPriority w:val="40"/>
    <w:rsid w:val="00236B0A"/>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1">
    <w:name w:val="Heading 4 Char1"/>
    <w:basedOn w:val="DefaultParagraphFont"/>
    <w:uiPriority w:val="9"/>
    <w:semiHidden/>
    <w:rsid w:val="00236B0A"/>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236B0A"/>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236B0A"/>
    <w:pPr>
      <w:contextualSpacing/>
    </w:pPr>
    <w:rPr>
      <w:rFonts w:ascii="Cambria" w:eastAsia="Times New Roman" w:hAnsi="Cambria"/>
      <w:color w:val="17365D"/>
      <w:spacing w:val="5"/>
      <w:kern w:val="28"/>
      <w:sz w:val="52"/>
      <w:szCs w:val="52"/>
      <w:lang w:val="en-US" w:eastAsia="zh-CN"/>
    </w:rPr>
  </w:style>
  <w:style w:type="character" w:customStyle="1" w:styleId="TitleChar1">
    <w:name w:val="Title Char1"/>
    <w:basedOn w:val="DefaultParagraphFont"/>
    <w:uiPriority w:val="10"/>
    <w:rsid w:val="00236B0A"/>
    <w:rPr>
      <w:rFonts w:asciiTheme="majorHAnsi" w:eastAsiaTheme="majorEastAsia" w:hAnsiTheme="majorHAnsi" w:cstheme="majorBidi"/>
      <w:color w:val="323E4F" w:themeColor="text2" w:themeShade="BF"/>
      <w:spacing w:val="5"/>
      <w:kern w:val="28"/>
      <w:sz w:val="52"/>
      <w:szCs w:val="52"/>
      <w:lang w:val="it-IT" w:eastAsia="it-IT"/>
    </w:rPr>
  </w:style>
  <w:style w:type="table" w:styleId="LightShading-Accent3">
    <w:name w:val="Light Shading Accent 3"/>
    <w:basedOn w:val="TableNormal"/>
    <w:uiPriority w:val="60"/>
    <w:unhideWhenUsed/>
    <w:rsid w:val="00236B0A"/>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List1-Accent3">
    <w:name w:val="Medium List 1 Accent 3"/>
    <w:basedOn w:val="TableNormal"/>
    <w:uiPriority w:val="65"/>
    <w:unhideWhenUsed/>
    <w:rsid w:val="00236B0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styleId="SubtleReference">
    <w:name w:val="Subtle Reference"/>
    <w:basedOn w:val="DefaultParagraphFont"/>
    <w:uiPriority w:val="31"/>
    <w:qFormat/>
    <w:rsid w:val="00236B0A"/>
    <w:rPr>
      <w:smallCaps/>
      <w:color w:val="5A5A5A" w:themeColor="text1" w:themeTint="A5"/>
    </w:rPr>
  </w:style>
  <w:style w:type="character" w:customStyle="1" w:styleId="Heading7Char">
    <w:name w:val="Heading 7 Char"/>
    <w:basedOn w:val="DefaultParagraphFont"/>
    <w:link w:val="Heading7"/>
    <w:uiPriority w:val="9"/>
    <w:rsid w:val="00A30131"/>
    <w:rPr>
      <w:rFonts w:ascii="Times New Roman" w:eastAsiaTheme="majorEastAsia" w:hAnsi="Times New Roman" w:cstheme="majorBidi"/>
      <w:sz w:val="24"/>
      <w:szCs w:val="24"/>
      <w:lang w:eastAsia="en-US"/>
    </w:rPr>
  </w:style>
  <w:style w:type="character" w:customStyle="1" w:styleId="Heading8Char">
    <w:name w:val="Heading 8 Char"/>
    <w:basedOn w:val="DefaultParagraphFont"/>
    <w:link w:val="Heading8"/>
    <w:uiPriority w:val="9"/>
    <w:rsid w:val="00A30131"/>
    <w:rPr>
      <w:rFonts w:ascii="Times New Roman" w:eastAsiaTheme="majorEastAsia" w:hAnsi="Times New Roman" w:cstheme="majorBidi"/>
      <w:i/>
      <w:iCs/>
      <w:sz w:val="24"/>
      <w:szCs w:val="24"/>
      <w:lang w:eastAsia="en-US"/>
    </w:rPr>
  </w:style>
  <w:style w:type="character" w:customStyle="1" w:styleId="Heading9Char">
    <w:name w:val="Heading 9 Char"/>
    <w:basedOn w:val="DefaultParagraphFont"/>
    <w:link w:val="Heading9"/>
    <w:uiPriority w:val="9"/>
    <w:rsid w:val="00A30131"/>
    <w:rPr>
      <w:rFonts w:ascii="Arial" w:eastAsiaTheme="majorEastAsia" w:hAnsi="Arial" w:cs="Arial"/>
      <w:sz w:val="22"/>
      <w:szCs w:val="22"/>
      <w:lang w:eastAsia="en-US"/>
    </w:rPr>
  </w:style>
  <w:style w:type="character" w:customStyle="1" w:styleId="CaptionChar">
    <w:name w:val="Caption Char"/>
    <w:basedOn w:val="DefaultParagraphFont"/>
    <w:link w:val="Caption"/>
    <w:rsid w:val="00A30131"/>
    <w:rPr>
      <w:rFonts w:ascii="Times" w:hAnsi="Times"/>
      <w:b/>
      <w:bCs/>
      <w:color w:val="5B9BD5" w:themeColor="accent1"/>
      <w:sz w:val="18"/>
      <w:szCs w:val="18"/>
      <w:lang w:val="it-IT" w:eastAsia="it-IT"/>
    </w:rPr>
  </w:style>
  <w:style w:type="paragraph" w:styleId="TOAHeading">
    <w:name w:val="toa heading"/>
    <w:basedOn w:val="Normal"/>
    <w:qFormat/>
    <w:rsid w:val="00A30131"/>
    <w:pPr>
      <w:spacing w:before="120" w:after="200" w:line="276" w:lineRule="auto"/>
    </w:pPr>
    <w:rPr>
      <w:rFonts w:asciiTheme="minorHAnsi" w:eastAsiaTheme="minorHAnsi" w:hAnsiTheme="minorHAnsi" w:cstheme="minorBidi"/>
      <w:b/>
      <w:sz w:val="24"/>
      <w:szCs w:val="24"/>
      <w:lang w:val="en-US" w:eastAsia="en-US"/>
    </w:rPr>
  </w:style>
  <w:style w:type="paragraph" w:styleId="Quote">
    <w:name w:val="Quote"/>
    <w:basedOn w:val="Normal"/>
    <w:next w:val="Normal"/>
    <w:link w:val="QuoteChar"/>
    <w:uiPriority w:val="29"/>
    <w:qFormat/>
    <w:rsid w:val="00A30131"/>
    <w:pPr>
      <w:spacing w:before="200" w:after="200" w:line="276" w:lineRule="auto"/>
      <w:ind w:left="360" w:right="360"/>
    </w:pPr>
    <w:rPr>
      <w:rFonts w:ascii="Calibri" w:eastAsiaTheme="minorHAnsi" w:hAnsi="Calibri" w:cstheme="minorBidi"/>
      <w:i/>
      <w:iCs/>
      <w:sz w:val="22"/>
      <w:szCs w:val="22"/>
      <w:lang w:val="en-US" w:eastAsia="en-US" w:bidi="en-US"/>
    </w:rPr>
  </w:style>
  <w:style w:type="character" w:customStyle="1" w:styleId="QuoteChar">
    <w:name w:val="Quote Char"/>
    <w:basedOn w:val="DefaultParagraphFont"/>
    <w:link w:val="Quote"/>
    <w:uiPriority w:val="29"/>
    <w:rsid w:val="00A30131"/>
    <w:rPr>
      <w:rFonts w:ascii="Calibri" w:eastAsiaTheme="minorHAnsi" w:hAnsi="Calibri" w:cstheme="minorBidi"/>
      <w:i/>
      <w:iCs/>
      <w:sz w:val="22"/>
      <w:szCs w:val="22"/>
      <w:lang w:eastAsia="en-US" w:bidi="en-US"/>
    </w:rPr>
  </w:style>
  <w:style w:type="paragraph" w:styleId="IntenseQuote">
    <w:name w:val="Intense Quote"/>
    <w:basedOn w:val="Normal"/>
    <w:next w:val="Normal"/>
    <w:link w:val="IntenseQuoteChar"/>
    <w:uiPriority w:val="30"/>
    <w:qFormat/>
    <w:rsid w:val="00A30131"/>
    <w:pPr>
      <w:pBdr>
        <w:bottom w:val="single" w:sz="4" w:space="1" w:color="auto"/>
      </w:pBdr>
      <w:spacing w:before="200" w:after="280" w:line="276" w:lineRule="auto"/>
      <w:ind w:left="1008" w:right="1152"/>
    </w:pPr>
    <w:rPr>
      <w:rFonts w:ascii="Calibri" w:eastAsiaTheme="minorHAnsi" w:hAnsi="Calibri" w:cstheme="minorBidi"/>
      <w:b/>
      <w:bCs/>
      <w:i/>
      <w:iCs/>
      <w:sz w:val="22"/>
      <w:szCs w:val="22"/>
      <w:lang w:val="en-US" w:eastAsia="en-US" w:bidi="en-US"/>
    </w:rPr>
  </w:style>
  <w:style w:type="character" w:customStyle="1" w:styleId="IntenseQuoteChar">
    <w:name w:val="Intense Quote Char"/>
    <w:basedOn w:val="DefaultParagraphFont"/>
    <w:link w:val="IntenseQuote"/>
    <w:uiPriority w:val="30"/>
    <w:rsid w:val="00A30131"/>
    <w:rPr>
      <w:rFonts w:ascii="Calibri" w:eastAsiaTheme="minorHAnsi" w:hAnsi="Calibri" w:cstheme="minorBidi"/>
      <w:b/>
      <w:bCs/>
      <w:i/>
      <w:iCs/>
      <w:sz w:val="22"/>
      <w:szCs w:val="22"/>
      <w:lang w:eastAsia="en-US" w:bidi="en-US"/>
    </w:rPr>
  </w:style>
  <w:style w:type="character" w:styleId="SubtleEmphasis">
    <w:name w:val="Subtle Emphasis"/>
    <w:basedOn w:val="DefaultParagraphFont"/>
    <w:uiPriority w:val="19"/>
    <w:qFormat/>
    <w:rsid w:val="00A30131"/>
    <w:rPr>
      <w:i/>
      <w:iCs/>
      <w:color w:val="808080"/>
    </w:rPr>
  </w:style>
  <w:style w:type="character" w:styleId="IntenseEmphasis">
    <w:name w:val="Intense Emphasis"/>
    <w:basedOn w:val="DefaultParagraphFont"/>
    <w:uiPriority w:val="21"/>
    <w:qFormat/>
    <w:rsid w:val="00A30131"/>
    <w:rPr>
      <w:b/>
      <w:bCs/>
      <w:i/>
      <w:iCs/>
      <w:color w:val="4F81BD"/>
    </w:rPr>
  </w:style>
  <w:style w:type="character" w:styleId="IntenseReference">
    <w:name w:val="Intense Reference"/>
    <w:uiPriority w:val="32"/>
    <w:qFormat/>
    <w:rsid w:val="00A30131"/>
    <w:rPr>
      <w:smallCaps/>
      <w:spacing w:val="5"/>
      <w:u w:val="single"/>
    </w:rPr>
  </w:style>
  <w:style w:type="character" w:styleId="BookTitle">
    <w:name w:val="Book Title"/>
    <w:uiPriority w:val="33"/>
    <w:qFormat/>
    <w:rsid w:val="00A30131"/>
    <w:rPr>
      <w:i/>
      <w:iCs/>
      <w:smallCaps/>
      <w:spacing w:val="5"/>
    </w:rPr>
  </w:style>
  <w:style w:type="paragraph" w:customStyle="1" w:styleId="Heading">
    <w:name w:val="Heading"/>
    <w:basedOn w:val="Heading2"/>
    <w:qFormat/>
    <w:rsid w:val="00A30131"/>
    <w:pPr>
      <w:keepLines/>
      <w:widowControl w:val="0"/>
      <w:spacing w:before="0" w:after="200" w:line="360" w:lineRule="auto"/>
    </w:pPr>
    <w:rPr>
      <w:rFonts w:ascii="Times New Roman" w:eastAsiaTheme="majorEastAsia" w:hAnsi="Times New Roman"/>
      <w:bCs/>
      <w:color w:val="4F81BD"/>
      <w:sz w:val="24"/>
      <w:szCs w:val="24"/>
      <w:lang w:val="en-US" w:eastAsia="en-US"/>
    </w:rPr>
  </w:style>
  <w:style w:type="paragraph" w:customStyle="1" w:styleId="char">
    <w:name w:val="char"/>
    <w:basedOn w:val="Heading1"/>
    <w:link w:val="charChar"/>
    <w:qFormat/>
    <w:rsid w:val="00A30131"/>
    <w:pPr>
      <w:keepLines/>
      <w:spacing w:after="200" w:line="276" w:lineRule="auto"/>
    </w:pPr>
    <w:rPr>
      <w:rFonts w:ascii="Times New Roman" w:eastAsia="Times New Roman" w:hAnsi="Times New Roman"/>
      <w:bCs/>
      <w:caps w:val="0"/>
      <w:color w:val="365F91"/>
      <w:sz w:val="28"/>
      <w:szCs w:val="28"/>
      <w:lang w:eastAsia="en-US" w:bidi="en-US"/>
    </w:rPr>
  </w:style>
  <w:style w:type="character" w:customStyle="1" w:styleId="charChar">
    <w:name w:val="char Char"/>
    <w:basedOn w:val="Heading1Char"/>
    <w:link w:val="char"/>
    <w:rsid w:val="00A30131"/>
    <w:rPr>
      <w:rFonts w:ascii="Times New Roman" w:eastAsia="Times New Roman" w:hAnsi="Times New Roman"/>
      <w:b/>
      <w:bCs/>
      <w:caps w:val="0"/>
      <w:color w:val="365F91"/>
      <w:sz w:val="28"/>
      <w:szCs w:val="28"/>
      <w:lang w:val="it-IT" w:eastAsia="en-US" w:bidi="en-US"/>
    </w:rPr>
  </w:style>
  <w:style w:type="paragraph" w:customStyle="1" w:styleId="char14">
    <w:name w:val="char 14"/>
    <w:basedOn w:val="Heading2"/>
    <w:qFormat/>
    <w:rsid w:val="00A30131"/>
    <w:pPr>
      <w:keepLines/>
      <w:spacing w:before="200" w:after="200" w:line="276" w:lineRule="auto"/>
    </w:pPr>
    <w:rPr>
      <w:rFonts w:ascii="Times New Roman" w:eastAsia="Times New Roman" w:hAnsi="Times New Roman"/>
      <w:bCs/>
      <w:sz w:val="24"/>
      <w:szCs w:val="24"/>
      <w:lang w:val="en-US" w:eastAsia="en-US" w:bidi="en-US"/>
    </w:rPr>
  </w:style>
  <w:style w:type="paragraph" w:styleId="DocumentMap">
    <w:name w:val="Document Map"/>
    <w:basedOn w:val="Normal"/>
    <w:link w:val="DocumentMapChar"/>
    <w:uiPriority w:val="99"/>
    <w:semiHidden/>
    <w:unhideWhenUsed/>
    <w:rsid w:val="00A30131"/>
    <w:rPr>
      <w:rFonts w:ascii="Tahoma" w:eastAsiaTheme="minorHAnsi" w:hAnsi="Tahoma" w:cs="Tahoma"/>
      <w:sz w:val="16"/>
      <w:szCs w:val="16"/>
      <w:lang w:val="en-US" w:eastAsia="en-US"/>
    </w:rPr>
  </w:style>
  <w:style w:type="character" w:customStyle="1" w:styleId="DocumentMapChar">
    <w:name w:val="Document Map Char"/>
    <w:basedOn w:val="DefaultParagraphFont"/>
    <w:link w:val="DocumentMap"/>
    <w:uiPriority w:val="99"/>
    <w:semiHidden/>
    <w:rsid w:val="00A30131"/>
    <w:rPr>
      <w:rFonts w:ascii="Tahoma" w:eastAsiaTheme="minorHAnsi" w:hAnsi="Tahoma" w:cs="Tahoma"/>
      <w:sz w:val="16"/>
      <w:szCs w:val="16"/>
      <w:lang w:eastAsia="en-US"/>
    </w:rPr>
  </w:style>
  <w:style w:type="character" w:customStyle="1" w:styleId="A5">
    <w:name w:val="A5"/>
    <w:uiPriority w:val="99"/>
    <w:rsid w:val="00A30131"/>
    <w:rPr>
      <w:rFonts w:cs="Cambria"/>
      <w:color w:val="000000"/>
      <w:sz w:val="28"/>
      <w:szCs w:val="28"/>
    </w:rPr>
  </w:style>
  <w:style w:type="paragraph" w:styleId="BodyText">
    <w:name w:val="Body Text"/>
    <w:basedOn w:val="Normal"/>
    <w:link w:val="BodyTextChar"/>
    <w:uiPriority w:val="99"/>
    <w:qFormat/>
    <w:rsid w:val="00A30131"/>
    <w:pPr>
      <w:widowControl w:val="0"/>
      <w:autoSpaceDE w:val="0"/>
      <w:autoSpaceDN w:val="0"/>
    </w:pPr>
    <w:rPr>
      <w:rFonts w:ascii="Times New Roman" w:eastAsia="Times New Roman" w:hAnsi="Times New Roman"/>
      <w:sz w:val="19"/>
      <w:szCs w:val="19"/>
      <w:lang w:val="en-US" w:eastAsia="en-US"/>
    </w:rPr>
  </w:style>
  <w:style w:type="character" w:customStyle="1" w:styleId="BodyTextChar">
    <w:name w:val="Body Text Char"/>
    <w:basedOn w:val="DefaultParagraphFont"/>
    <w:link w:val="BodyText"/>
    <w:uiPriority w:val="99"/>
    <w:rsid w:val="00A30131"/>
    <w:rPr>
      <w:rFonts w:ascii="Times New Roman" w:eastAsia="Times New Roman" w:hAnsi="Times New Roman"/>
      <w:sz w:val="19"/>
      <w:szCs w:val="19"/>
      <w:lang w:eastAsia="en-US"/>
    </w:rPr>
  </w:style>
  <w:style w:type="paragraph" w:customStyle="1" w:styleId="TableParagraph">
    <w:name w:val="Table Paragraph"/>
    <w:basedOn w:val="Normal"/>
    <w:uiPriority w:val="1"/>
    <w:qFormat/>
    <w:rsid w:val="00A30131"/>
    <w:pPr>
      <w:widowControl w:val="0"/>
      <w:autoSpaceDE w:val="0"/>
      <w:autoSpaceDN w:val="0"/>
      <w:spacing w:before="21"/>
    </w:pPr>
    <w:rPr>
      <w:rFonts w:ascii="Arial" w:eastAsia="Arial" w:hAnsi="Arial" w:cs="Arial"/>
      <w:sz w:val="22"/>
      <w:szCs w:val="22"/>
      <w:lang w:val="en-US" w:eastAsia="en-US"/>
    </w:rPr>
  </w:style>
  <w:style w:type="paragraph" w:customStyle="1" w:styleId="Pa2">
    <w:name w:val="Pa2"/>
    <w:basedOn w:val="Default"/>
    <w:next w:val="Default"/>
    <w:uiPriority w:val="99"/>
    <w:rsid w:val="00A30131"/>
    <w:pPr>
      <w:spacing w:line="241" w:lineRule="atLeast"/>
    </w:pPr>
    <w:rPr>
      <w:rFonts w:ascii="Californian FB" w:eastAsiaTheme="minorHAnsi" w:hAnsi="Californian FB" w:cstheme="minorBidi"/>
      <w:color w:val="auto"/>
      <w:lang w:val="en-US" w:eastAsia="en-US"/>
    </w:rPr>
  </w:style>
  <w:style w:type="paragraph" w:customStyle="1" w:styleId="Pa3">
    <w:name w:val="Pa3"/>
    <w:basedOn w:val="Default"/>
    <w:next w:val="Default"/>
    <w:uiPriority w:val="99"/>
    <w:rsid w:val="00A30131"/>
    <w:pPr>
      <w:spacing w:line="241" w:lineRule="atLeast"/>
    </w:pPr>
    <w:rPr>
      <w:rFonts w:ascii="Californian FB" w:eastAsiaTheme="minorHAnsi" w:hAnsi="Californian FB" w:cstheme="minorBidi"/>
      <w:color w:val="auto"/>
      <w:lang w:val="en-US" w:eastAsia="en-US"/>
    </w:rPr>
  </w:style>
  <w:style w:type="paragraph" w:customStyle="1" w:styleId="Pa0">
    <w:name w:val="Pa0"/>
    <w:basedOn w:val="Default"/>
    <w:next w:val="Default"/>
    <w:uiPriority w:val="99"/>
    <w:rsid w:val="00A30131"/>
    <w:pPr>
      <w:spacing w:line="241" w:lineRule="atLeast"/>
    </w:pPr>
    <w:rPr>
      <w:rFonts w:ascii="Impact" w:eastAsiaTheme="minorHAnsi" w:hAnsi="Impact" w:cstheme="minorBidi"/>
      <w:color w:val="auto"/>
      <w:lang w:val="en-US" w:eastAsia="en-US"/>
    </w:rPr>
  </w:style>
  <w:style w:type="paragraph" w:customStyle="1" w:styleId="Pa1">
    <w:name w:val="Pa1"/>
    <w:basedOn w:val="Default"/>
    <w:next w:val="Default"/>
    <w:uiPriority w:val="99"/>
    <w:rsid w:val="00A30131"/>
    <w:pPr>
      <w:spacing w:line="241" w:lineRule="atLeast"/>
    </w:pPr>
    <w:rPr>
      <w:rFonts w:ascii="Cambria" w:eastAsiaTheme="minorHAnsi" w:hAnsi="Cambria" w:cstheme="minorBidi"/>
      <w:color w:val="auto"/>
      <w:lang w:val="en-US" w:eastAsia="en-US"/>
    </w:rPr>
  </w:style>
  <w:style w:type="character" w:customStyle="1" w:styleId="A4">
    <w:name w:val="A4"/>
    <w:uiPriority w:val="99"/>
    <w:rsid w:val="00A30131"/>
    <w:rPr>
      <w:rFonts w:cs="Minion Pro"/>
      <w:color w:val="000000"/>
      <w:sz w:val="22"/>
      <w:szCs w:val="22"/>
    </w:rPr>
  </w:style>
  <w:style w:type="character" w:customStyle="1" w:styleId="NoSpacingChar">
    <w:name w:val="No Spacing Char"/>
    <w:basedOn w:val="DefaultParagraphFont"/>
    <w:link w:val="NoSpacing"/>
    <w:uiPriority w:val="1"/>
    <w:rsid w:val="00A30131"/>
    <w:rPr>
      <w:rFonts w:ascii="Calibri" w:eastAsia="Calibri" w:hAnsi="Calibri"/>
      <w:sz w:val="22"/>
      <w:szCs w:val="22"/>
      <w:lang w:eastAsia="en-US"/>
    </w:rPr>
  </w:style>
  <w:style w:type="paragraph" w:customStyle="1" w:styleId="Pa15">
    <w:name w:val="Pa15"/>
    <w:basedOn w:val="Default"/>
    <w:next w:val="Default"/>
    <w:uiPriority w:val="99"/>
    <w:rsid w:val="00A30131"/>
    <w:pPr>
      <w:spacing w:line="241" w:lineRule="atLeast"/>
    </w:pPr>
    <w:rPr>
      <w:rFonts w:ascii="Calibri" w:eastAsiaTheme="minorHAnsi" w:hAnsi="Calibri" w:cs="Calibri"/>
      <w:color w:val="auto"/>
      <w:lang w:val="en-US" w:eastAsia="en-US"/>
    </w:rPr>
  </w:style>
  <w:style w:type="character" w:customStyle="1" w:styleId="A2">
    <w:name w:val="A2"/>
    <w:uiPriority w:val="99"/>
    <w:rsid w:val="00A30131"/>
    <w:rPr>
      <w:color w:val="000000"/>
      <w:sz w:val="20"/>
      <w:szCs w:val="20"/>
    </w:rPr>
  </w:style>
  <w:style w:type="character" w:customStyle="1" w:styleId="TableofFiguresChar">
    <w:name w:val="Table of Figures Char"/>
    <w:aliases w:val="Tables i appendices Char,Appendix Table Char"/>
    <w:basedOn w:val="DefaultParagraphFont"/>
    <w:link w:val="TableofFigures"/>
    <w:uiPriority w:val="99"/>
    <w:rsid w:val="008923AC"/>
    <w:rPr>
      <w:rFonts w:ascii="Times New Roman" w:eastAsia="Calibri" w:hAnsi="Times New Roman" w:cs="Calibri"/>
      <w:sz w:val="24"/>
      <w:szCs w:val="22"/>
      <w:lang w:eastAsia="en-US"/>
    </w:rPr>
  </w:style>
  <w:style w:type="character" w:customStyle="1" w:styleId="BalloonTextChar1">
    <w:name w:val="Balloon Text Char1"/>
    <w:basedOn w:val="DefaultParagraphFont"/>
    <w:uiPriority w:val="99"/>
    <w:semiHidden/>
    <w:rsid w:val="007A1E06"/>
    <w:rPr>
      <w:rFonts w:ascii="Segoe UI" w:eastAsia="Times New Roman" w:hAnsi="Segoe UI" w:cs="Segoe UI"/>
      <w:sz w:val="18"/>
      <w:szCs w:val="18"/>
    </w:rPr>
  </w:style>
  <w:style w:type="paragraph" w:customStyle="1" w:styleId="TOC11">
    <w:name w:val="TOC 11"/>
    <w:basedOn w:val="Normal"/>
    <w:next w:val="Normal"/>
    <w:autoRedefine/>
    <w:uiPriority w:val="39"/>
    <w:unhideWhenUsed/>
    <w:qFormat/>
    <w:rsid w:val="007A1E06"/>
    <w:pPr>
      <w:tabs>
        <w:tab w:val="right" w:leader="dot" w:pos="9017"/>
      </w:tabs>
      <w:spacing w:before="120" w:after="120" w:line="259" w:lineRule="auto"/>
      <w:jc w:val="both"/>
    </w:pPr>
    <w:rPr>
      <w:rFonts w:ascii="Calibri" w:eastAsia="Calibri" w:hAnsi="Calibri" w:cs="Calibri"/>
      <w:b/>
      <w:bCs/>
      <w:caps/>
      <w:lang w:val="en-US" w:eastAsia="en-US"/>
    </w:rPr>
  </w:style>
  <w:style w:type="paragraph" w:customStyle="1" w:styleId="TOC21">
    <w:name w:val="TOC 21"/>
    <w:basedOn w:val="Normal"/>
    <w:next w:val="Normal"/>
    <w:autoRedefine/>
    <w:uiPriority w:val="39"/>
    <w:unhideWhenUsed/>
    <w:qFormat/>
    <w:rsid w:val="007A1E06"/>
    <w:pPr>
      <w:spacing w:line="259" w:lineRule="auto"/>
      <w:ind w:left="220"/>
    </w:pPr>
    <w:rPr>
      <w:rFonts w:ascii="Calibri" w:eastAsia="Calibri" w:hAnsi="Calibri" w:cs="Calibri"/>
      <w:smallCaps/>
      <w:lang w:val="en-US" w:eastAsia="en-US"/>
    </w:rPr>
  </w:style>
  <w:style w:type="paragraph" w:customStyle="1" w:styleId="TOC31">
    <w:name w:val="TOC 31"/>
    <w:basedOn w:val="Normal"/>
    <w:next w:val="Normal"/>
    <w:autoRedefine/>
    <w:uiPriority w:val="39"/>
    <w:unhideWhenUsed/>
    <w:qFormat/>
    <w:rsid w:val="007A1E06"/>
    <w:pPr>
      <w:spacing w:line="259" w:lineRule="auto"/>
      <w:ind w:left="440"/>
    </w:pPr>
    <w:rPr>
      <w:rFonts w:ascii="Calibri" w:eastAsia="Calibri" w:hAnsi="Calibri" w:cs="Calibri"/>
      <w:i/>
      <w:iCs/>
      <w:lang w:val="en-US" w:eastAsia="en-US"/>
    </w:rPr>
  </w:style>
  <w:style w:type="character" w:customStyle="1" w:styleId="algouri">
    <w:name w:val="algouri"/>
    <w:rsid w:val="007A1E06"/>
    <w:rPr>
      <w:strike w:val="0"/>
      <w:dstrike w:val="0"/>
      <w:color w:val="0E7744"/>
      <w:sz w:val="18"/>
      <w:szCs w:val="18"/>
      <w:u w:val="none"/>
      <w:effect w:val="none"/>
    </w:rPr>
  </w:style>
  <w:style w:type="character" w:customStyle="1" w:styleId="A3">
    <w:name w:val="A3"/>
    <w:uiPriority w:val="99"/>
    <w:rsid w:val="007A1E06"/>
    <w:rPr>
      <w:rFonts w:cs="Dutch801 Rm BT"/>
      <w:color w:val="000000"/>
      <w:sz w:val="11"/>
      <w:szCs w:val="11"/>
    </w:rPr>
  </w:style>
  <w:style w:type="paragraph" w:customStyle="1" w:styleId="CM739">
    <w:name w:val="CM739"/>
    <w:basedOn w:val="Default"/>
    <w:next w:val="Default"/>
    <w:uiPriority w:val="99"/>
    <w:rsid w:val="007A1E06"/>
    <w:rPr>
      <w:rFonts w:ascii="Courier Std" w:eastAsia="Calibri" w:hAnsi="Courier Std"/>
      <w:color w:val="auto"/>
      <w:lang w:val="en-US" w:eastAsia="en-US"/>
    </w:rPr>
  </w:style>
  <w:style w:type="paragraph" w:customStyle="1" w:styleId="CM110">
    <w:name w:val="CM110"/>
    <w:basedOn w:val="Default"/>
    <w:next w:val="Default"/>
    <w:uiPriority w:val="99"/>
    <w:rsid w:val="007A1E06"/>
    <w:pPr>
      <w:spacing w:line="223" w:lineRule="atLeast"/>
    </w:pPr>
    <w:rPr>
      <w:rFonts w:ascii="Courier Std" w:eastAsia="Calibri" w:hAnsi="Courier Std"/>
      <w:color w:val="auto"/>
      <w:lang w:val="en-US" w:eastAsia="en-US"/>
    </w:rPr>
  </w:style>
  <w:style w:type="character" w:customStyle="1" w:styleId="personname">
    <w:name w:val="person_name"/>
    <w:basedOn w:val="DefaultParagraphFont"/>
    <w:rsid w:val="007A1E06"/>
  </w:style>
  <w:style w:type="character" w:customStyle="1" w:styleId="absatz">
    <w:name w:val="absatz"/>
    <w:basedOn w:val="DefaultParagraphFont"/>
    <w:rsid w:val="007A1E06"/>
  </w:style>
  <w:style w:type="paragraph" w:customStyle="1" w:styleId="CM733">
    <w:name w:val="CM733"/>
    <w:basedOn w:val="Default"/>
    <w:next w:val="Default"/>
    <w:uiPriority w:val="99"/>
    <w:rsid w:val="007A1E06"/>
    <w:rPr>
      <w:rFonts w:ascii="Courier Std" w:eastAsia="Calibri" w:hAnsi="Courier Std"/>
      <w:color w:val="auto"/>
      <w:lang w:val="en-US" w:eastAsia="en-US"/>
    </w:rPr>
  </w:style>
  <w:style w:type="paragraph" w:customStyle="1" w:styleId="CM6">
    <w:name w:val="CM6"/>
    <w:basedOn w:val="Default"/>
    <w:next w:val="Default"/>
    <w:uiPriority w:val="99"/>
    <w:rsid w:val="007A1E06"/>
    <w:pPr>
      <w:spacing w:line="360" w:lineRule="atLeast"/>
    </w:pPr>
    <w:rPr>
      <w:rFonts w:ascii="Arial" w:eastAsia="Calibri" w:hAnsi="Arial" w:cs="Arial"/>
      <w:color w:val="auto"/>
      <w:lang w:val="en-US" w:eastAsia="en-US"/>
    </w:rPr>
  </w:style>
  <w:style w:type="paragraph" w:customStyle="1" w:styleId="CommentSubject1">
    <w:name w:val="Comment Subject1"/>
    <w:basedOn w:val="CommentText"/>
    <w:next w:val="CommentText"/>
    <w:uiPriority w:val="99"/>
    <w:semiHidden/>
    <w:unhideWhenUsed/>
    <w:rsid w:val="007A1E06"/>
    <w:rPr>
      <w:rFonts w:ascii="Times New Roman" w:eastAsia="Calibri" w:hAnsi="Times New Roman"/>
      <w:b/>
      <w:bCs/>
      <w:sz w:val="22"/>
      <w:szCs w:val="22"/>
      <w:lang w:val="x-none" w:eastAsia="x-none" w:bidi="ar-SA"/>
    </w:rPr>
  </w:style>
  <w:style w:type="character" w:customStyle="1" w:styleId="CommentSubjectChar1">
    <w:name w:val="Comment Subject Char1"/>
    <w:basedOn w:val="CommentTextChar"/>
    <w:uiPriority w:val="99"/>
    <w:semiHidden/>
    <w:rsid w:val="007A1E06"/>
    <w:rPr>
      <w:rFonts w:ascii="Calibri" w:eastAsia="Times New Roman" w:hAnsi="Calibri" w:cs="Times New Roman"/>
      <w:b/>
      <w:bCs/>
      <w:sz w:val="20"/>
      <w:szCs w:val="20"/>
      <w:lang w:val="it-IT" w:eastAsia="it-IT"/>
    </w:rPr>
  </w:style>
  <w:style w:type="character" w:customStyle="1" w:styleId="DocumentMapChar1">
    <w:name w:val="Document Map Char1"/>
    <w:basedOn w:val="DefaultParagraphFont"/>
    <w:uiPriority w:val="99"/>
    <w:semiHidden/>
    <w:rsid w:val="007A1E06"/>
    <w:rPr>
      <w:rFonts w:ascii="Segoe UI" w:eastAsia="Calibri" w:hAnsi="Segoe UI" w:cs="Segoe UI"/>
      <w:sz w:val="16"/>
      <w:szCs w:val="16"/>
    </w:rPr>
  </w:style>
  <w:style w:type="character" w:customStyle="1" w:styleId="nlmarticle-title">
    <w:name w:val="nlm_article-title"/>
    <w:basedOn w:val="DefaultParagraphFont"/>
    <w:rsid w:val="007A1E06"/>
  </w:style>
  <w:style w:type="character" w:customStyle="1" w:styleId="nlmyear">
    <w:name w:val="nlm_year"/>
    <w:basedOn w:val="DefaultParagraphFont"/>
    <w:rsid w:val="007A1E06"/>
  </w:style>
  <w:style w:type="character" w:customStyle="1" w:styleId="nlmedition">
    <w:name w:val="nlm_edition"/>
    <w:basedOn w:val="DefaultParagraphFont"/>
    <w:rsid w:val="007A1E06"/>
  </w:style>
  <w:style w:type="character" w:customStyle="1" w:styleId="nlmpublisher-loc">
    <w:name w:val="nlm_publisher-loc"/>
    <w:basedOn w:val="DefaultParagraphFont"/>
    <w:rsid w:val="007A1E06"/>
  </w:style>
  <w:style w:type="character" w:customStyle="1" w:styleId="nlmpublisher-name">
    <w:name w:val="nlm_publisher-name"/>
    <w:basedOn w:val="DefaultParagraphFont"/>
    <w:rsid w:val="007A1E06"/>
  </w:style>
  <w:style w:type="character" w:customStyle="1" w:styleId="nlmfpage">
    <w:name w:val="nlm_fpage"/>
    <w:basedOn w:val="DefaultParagraphFont"/>
    <w:rsid w:val="007A1E06"/>
  </w:style>
  <w:style w:type="character" w:customStyle="1" w:styleId="nlmlpage">
    <w:name w:val="nlm_lpage"/>
    <w:basedOn w:val="DefaultParagraphFont"/>
    <w:rsid w:val="007A1E06"/>
  </w:style>
  <w:style w:type="paragraph" w:customStyle="1" w:styleId="CM736">
    <w:name w:val="CM736"/>
    <w:basedOn w:val="Default"/>
    <w:next w:val="Default"/>
    <w:uiPriority w:val="99"/>
    <w:rsid w:val="007A1E06"/>
    <w:rPr>
      <w:rFonts w:ascii="Courier Std" w:eastAsia="Calibri" w:hAnsi="Courier Std"/>
      <w:color w:val="auto"/>
      <w:lang w:val="en-US" w:eastAsia="en-US"/>
    </w:rPr>
  </w:style>
  <w:style w:type="character" w:customStyle="1" w:styleId="nodisplay">
    <w:name w:val="nodisplay"/>
    <w:basedOn w:val="DefaultParagraphFont"/>
    <w:rsid w:val="007A1E06"/>
  </w:style>
  <w:style w:type="paragraph" w:customStyle="1" w:styleId="TOC41">
    <w:name w:val="TOC 41"/>
    <w:basedOn w:val="Normal"/>
    <w:next w:val="Normal"/>
    <w:autoRedefine/>
    <w:uiPriority w:val="39"/>
    <w:unhideWhenUsed/>
    <w:rsid w:val="007A1E06"/>
    <w:pPr>
      <w:spacing w:line="259" w:lineRule="auto"/>
      <w:ind w:left="660"/>
    </w:pPr>
    <w:rPr>
      <w:rFonts w:ascii="Calibri" w:eastAsia="Calibri" w:hAnsi="Calibri" w:cs="Calibri"/>
      <w:sz w:val="18"/>
      <w:szCs w:val="18"/>
      <w:lang w:val="en-US" w:eastAsia="en-US"/>
    </w:rPr>
  </w:style>
  <w:style w:type="paragraph" w:customStyle="1" w:styleId="TOC51">
    <w:name w:val="TOC 51"/>
    <w:basedOn w:val="Normal"/>
    <w:next w:val="Normal"/>
    <w:autoRedefine/>
    <w:uiPriority w:val="39"/>
    <w:unhideWhenUsed/>
    <w:rsid w:val="007A1E06"/>
    <w:pPr>
      <w:spacing w:line="259" w:lineRule="auto"/>
      <w:ind w:left="880"/>
    </w:pPr>
    <w:rPr>
      <w:rFonts w:ascii="Calibri" w:eastAsia="Calibri" w:hAnsi="Calibri" w:cs="Calibri"/>
      <w:sz w:val="18"/>
      <w:szCs w:val="18"/>
      <w:lang w:val="en-US" w:eastAsia="en-US"/>
    </w:rPr>
  </w:style>
  <w:style w:type="paragraph" w:customStyle="1" w:styleId="TOC61">
    <w:name w:val="TOC 61"/>
    <w:basedOn w:val="Normal"/>
    <w:next w:val="Normal"/>
    <w:autoRedefine/>
    <w:uiPriority w:val="39"/>
    <w:unhideWhenUsed/>
    <w:rsid w:val="007A1E06"/>
    <w:pPr>
      <w:spacing w:line="259" w:lineRule="auto"/>
      <w:ind w:left="1100"/>
    </w:pPr>
    <w:rPr>
      <w:rFonts w:ascii="Calibri" w:eastAsia="Calibri" w:hAnsi="Calibri" w:cs="Calibri"/>
      <w:sz w:val="18"/>
      <w:szCs w:val="18"/>
      <w:lang w:val="en-US" w:eastAsia="en-US"/>
    </w:rPr>
  </w:style>
  <w:style w:type="paragraph" w:customStyle="1" w:styleId="TOC71">
    <w:name w:val="TOC 71"/>
    <w:basedOn w:val="Normal"/>
    <w:next w:val="Normal"/>
    <w:autoRedefine/>
    <w:uiPriority w:val="39"/>
    <w:unhideWhenUsed/>
    <w:rsid w:val="007A1E06"/>
    <w:pPr>
      <w:spacing w:line="259" w:lineRule="auto"/>
      <w:ind w:left="1320"/>
    </w:pPr>
    <w:rPr>
      <w:rFonts w:ascii="Calibri" w:eastAsia="Calibri" w:hAnsi="Calibri" w:cs="Calibri"/>
      <w:sz w:val="18"/>
      <w:szCs w:val="18"/>
      <w:lang w:val="en-US" w:eastAsia="en-US"/>
    </w:rPr>
  </w:style>
  <w:style w:type="paragraph" w:customStyle="1" w:styleId="TOC81">
    <w:name w:val="TOC 81"/>
    <w:basedOn w:val="Normal"/>
    <w:next w:val="Normal"/>
    <w:autoRedefine/>
    <w:uiPriority w:val="39"/>
    <w:unhideWhenUsed/>
    <w:rsid w:val="007A1E06"/>
    <w:pPr>
      <w:spacing w:line="259" w:lineRule="auto"/>
      <w:ind w:left="1540"/>
    </w:pPr>
    <w:rPr>
      <w:rFonts w:ascii="Calibri" w:eastAsia="Calibri" w:hAnsi="Calibri" w:cs="Calibri"/>
      <w:sz w:val="18"/>
      <w:szCs w:val="18"/>
      <w:lang w:val="en-US" w:eastAsia="en-US"/>
    </w:rPr>
  </w:style>
  <w:style w:type="paragraph" w:customStyle="1" w:styleId="TOC91">
    <w:name w:val="TOC 91"/>
    <w:basedOn w:val="Normal"/>
    <w:next w:val="Normal"/>
    <w:autoRedefine/>
    <w:uiPriority w:val="39"/>
    <w:unhideWhenUsed/>
    <w:rsid w:val="007A1E06"/>
    <w:pPr>
      <w:spacing w:line="259" w:lineRule="auto"/>
      <w:ind w:left="1760"/>
    </w:pPr>
    <w:rPr>
      <w:rFonts w:ascii="Calibri" w:eastAsia="Calibri" w:hAnsi="Calibri" w:cs="Calibri"/>
      <w:sz w:val="18"/>
      <w:szCs w:val="18"/>
      <w:lang w:val="en-US" w:eastAsia="en-US"/>
    </w:rPr>
  </w:style>
  <w:style w:type="character" w:customStyle="1" w:styleId="FootnoteTextChar1">
    <w:name w:val="Footnote Text Char1"/>
    <w:basedOn w:val="DefaultParagraphFont"/>
    <w:uiPriority w:val="99"/>
    <w:semiHidden/>
    <w:rsid w:val="007A1E06"/>
    <w:rPr>
      <w:rFonts w:ascii="Times New Roman" w:eastAsia="Times New Roman" w:hAnsi="Times New Roman" w:cs="Times New Roman"/>
      <w:sz w:val="20"/>
      <w:szCs w:val="20"/>
    </w:rPr>
  </w:style>
  <w:style w:type="paragraph" w:customStyle="1" w:styleId="origin-nid">
    <w:name w:val="origin-nid"/>
    <w:basedOn w:val="Normal"/>
    <w:rsid w:val="007A1E06"/>
    <w:pPr>
      <w:spacing w:after="150"/>
    </w:pPr>
    <w:rPr>
      <w:rFonts w:ascii="Times New Roman" w:eastAsia="Times New Roman" w:hAnsi="Times New Roman"/>
      <w:sz w:val="24"/>
      <w:szCs w:val="24"/>
      <w:lang w:val="en-US" w:eastAsia="en-US"/>
    </w:rPr>
  </w:style>
  <w:style w:type="paragraph" w:customStyle="1" w:styleId="EndnoteText1">
    <w:name w:val="Endnote Text1"/>
    <w:basedOn w:val="Normal"/>
    <w:next w:val="EndnoteText"/>
    <w:uiPriority w:val="99"/>
    <w:semiHidden/>
    <w:unhideWhenUsed/>
    <w:rsid w:val="007A1E06"/>
    <w:rPr>
      <w:rFonts w:ascii="Times New Roman" w:eastAsia="Calibri" w:hAnsi="Times New Roman" w:cs="Arial"/>
      <w:sz w:val="22"/>
      <w:szCs w:val="22"/>
      <w:lang w:val="en-US" w:eastAsia="en-US"/>
    </w:rPr>
  </w:style>
  <w:style w:type="character" w:customStyle="1" w:styleId="EndnoteTextChar1">
    <w:name w:val="Endnote Text Char1"/>
    <w:basedOn w:val="DefaultParagraphFont"/>
    <w:uiPriority w:val="99"/>
    <w:semiHidden/>
    <w:rsid w:val="007A1E06"/>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7A1E06"/>
    <w:pPr>
      <w:jc w:val="center"/>
    </w:pPr>
    <w:rPr>
      <w:rFonts w:ascii="Times New Roman" w:eastAsia="Times New Roman" w:hAnsi="Times New Roman"/>
      <w:sz w:val="24"/>
      <w:szCs w:val="24"/>
      <w:lang w:val="x-none" w:eastAsia="x-none"/>
    </w:rPr>
  </w:style>
  <w:style w:type="character" w:customStyle="1" w:styleId="BodyText2Char">
    <w:name w:val="Body Text 2 Char"/>
    <w:basedOn w:val="DefaultParagraphFont"/>
    <w:link w:val="BodyText2"/>
    <w:uiPriority w:val="99"/>
    <w:rsid w:val="007A1E06"/>
    <w:rPr>
      <w:rFonts w:ascii="Times New Roman" w:eastAsia="Times New Roman" w:hAnsi="Times New Roman"/>
      <w:sz w:val="24"/>
      <w:szCs w:val="24"/>
      <w:lang w:val="x-none" w:eastAsia="x-none"/>
    </w:rPr>
  </w:style>
  <w:style w:type="paragraph" w:styleId="BodyText3">
    <w:name w:val="Body Text 3"/>
    <w:basedOn w:val="Normal"/>
    <w:link w:val="BodyText3Char"/>
    <w:uiPriority w:val="99"/>
    <w:unhideWhenUsed/>
    <w:rsid w:val="007A1E06"/>
    <w:pPr>
      <w:tabs>
        <w:tab w:val="left" w:pos="90"/>
        <w:tab w:val="left" w:pos="270"/>
        <w:tab w:val="left" w:pos="8640"/>
      </w:tabs>
      <w:spacing w:line="276" w:lineRule="auto"/>
    </w:pPr>
    <w:rPr>
      <w:rFonts w:ascii="Times New Roman" w:eastAsia="Times New Roman" w:hAnsi="Times New Roman"/>
      <w:lang w:val="x-none" w:eastAsia="x-none"/>
    </w:rPr>
  </w:style>
  <w:style w:type="character" w:customStyle="1" w:styleId="BodyText3Char">
    <w:name w:val="Body Text 3 Char"/>
    <w:basedOn w:val="DefaultParagraphFont"/>
    <w:link w:val="BodyText3"/>
    <w:uiPriority w:val="99"/>
    <w:rsid w:val="007A1E06"/>
    <w:rPr>
      <w:rFonts w:ascii="Times New Roman" w:eastAsia="Times New Roman" w:hAnsi="Times New Roman"/>
      <w:lang w:val="x-none" w:eastAsia="x-none"/>
    </w:rPr>
  </w:style>
  <w:style w:type="character" w:customStyle="1" w:styleId="red-underline">
    <w:name w:val="red-underline"/>
    <w:basedOn w:val="DefaultParagraphFont"/>
    <w:rsid w:val="007A1E06"/>
  </w:style>
  <w:style w:type="paragraph" w:customStyle="1" w:styleId="root-block-node">
    <w:name w:val="root-block-node"/>
    <w:basedOn w:val="Normal"/>
    <w:rsid w:val="007A1E06"/>
    <w:pPr>
      <w:spacing w:before="100" w:beforeAutospacing="1" w:after="100" w:afterAutospacing="1"/>
    </w:pPr>
    <w:rPr>
      <w:rFonts w:ascii="Times New Roman" w:eastAsia="Times New Roman" w:hAnsi="Times New Roman"/>
      <w:sz w:val="24"/>
      <w:szCs w:val="24"/>
      <w:lang w:val="en-US" w:eastAsia="en-US"/>
    </w:rPr>
  </w:style>
  <w:style w:type="character" w:customStyle="1" w:styleId="blue-underline">
    <w:name w:val="blue-underline"/>
    <w:basedOn w:val="DefaultParagraphFont"/>
    <w:rsid w:val="007A1E06"/>
  </w:style>
  <w:style w:type="character" w:customStyle="1" w:styleId="st">
    <w:name w:val="st"/>
    <w:basedOn w:val="DefaultParagraphFont"/>
    <w:rsid w:val="007A1E06"/>
  </w:style>
  <w:style w:type="character" w:customStyle="1" w:styleId="y2iqfc">
    <w:name w:val="y2iqfc"/>
    <w:basedOn w:val="DefaultParagraphFont"/>
    <w:rsid w:val="007A1E06"/>
  </w:style>
  <w:style w:type="table" w:customStyle="1" w:styleId="GridTable1Light-Accent51">
    <w:name w:val="Grid Table 1 Light - Accent 51"/>
    <w:basedOn w:val="TableNormal"/>
    <w:uiPriority w:val="46"/>
    <w:rsid w:val="007A1E06"/>
    <w:rPr>
      <w:rFonts w:asciiTheme="minorHAnsi" w:eastAsiaTheme="minorHAnsi" w:hAnsiTheme="minorHAnsi" w:cstheme="minorBid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w-headline">
    <w:name w:val="mw-headline"/>
    <w:basedOn w:val="DefaultParagraphFont"/>
    <w:rsid w:val="007A1E06"/>
  </w:style>
  <w:style w:type="table" w:customStyle="1" w:styleId="Style3">
    <w:name w:val="Style3"/>
    <w:basedOn w:val="TableSimple1"/>
    <w:uiPriority w:val="99"/>
    <w:qFormat/>
    <w:rsid w:val="007A1E06"/>
    <w:pPr>
      <w:numPr>
        <w:ilvl w:val="0"/>
        <w:numId w:val="0"/>
      </w:numPr>
      <w:spacing w:line="240" w:lineRule="auto"/>
      <w:jc w:val="left"/>
    </w:pPr>
    <w:rPr>
      <w:rFonts w:ascii="Calibri" w:eastAsia="Calibri" w:hAnsi="Calibri" w:cs="Arial"/>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character" w:customStyle="1" w:styleId="plainlinks">
    <w:name w:val="plainlinks"/>
    <w:basedOn w:val="DefaultParagraphFont"/>
    <w:rsid w:val="007A1E06"/>
  </w:style>
  <w:style w:type="character" w:customStyle="1" w:styleId="geo-dms">
    <w:name w:val="geo-dms"/>
    <w:basedOn w:val="DefaultParagraphFont"/>
    <w:rsid w:val="007A1E06"/>
  </w:style>
  <w:style w:type="character" w:customStyle="1" w:styleId="latitude">
    <w:name w:val="latitude"/>
    <w:basedOn w:val="DefaultParagraphFont"/>
    <w:rsid w:val="007A1E06"/>
  </w:style>
  <w:style w:type="character" w:customStyle="1" w:styleId="longitude">
    <w:name w:val="longitude"/>
    <w:basedOn w:val="DefaultParagraphFont"/>
    <w:rsid w:val="007A1E06"/>
  </w:style>
  <w:style w:type="paragraph" w:customStyle="1" w:styleId="clear">
    <w:name w:val="clear"/>
    <w:basedOn w:val="Normal"/>
    <w:rsid w:val="007A1E06"/>
    <w:pPr>
      <w:spacing w:before="100" w:beforeAutospacing="1" w:after="100" w:afterAutospacing="1"/>
      <w:jc w:val="both"/>
    </w:pPr>
    <w:rPr>
      <w:rFonts w:ascii="Times New Roman" w:eastAsia="Times New Roman" w:hAnsi="Times New Roman"/>
      <w:color w:val="000000"/>
      <w:sz w:val="24"/>
      <w:szCs w:val="24"/>
      <w:lang w:val="en-US" w:eastAsia="en-US"/>
    </w:rPr>
  </w:style>
  <w:style w:type="character" w:customStyle="1" w:styleId="FollowedHyperlink1">
    <w:name w:val="FollowedHyperlink1"/>
    <w:basedOn w:val="DefaultParagraphFont"/>
    <w:uiPriority w:val="99"/>
    <w:semiHidden/>
    <w:unhideWhenUsed/>
    <w:rsid w:val="007A1E06"/>
    <w:rPr>
      <w:color w:val="800080"/>
      <w:u w:val="single"/>
    </w:rPr>
  </w:style>
  <w:style w:type="paragraph" w:customStyle="1" w:styleId="TOCHeading1">
    <w:name w:val="TOC Heading1"/>
    <w:basedOn w:val="Heading1"/>
    <w:next w:val="Normal"/>
    <w:uiPriority w:val="39"/>
    <w:unhideWhenUsed/>
    <w:qFormat/>
    <w:rsid w:val="007A1E06"/>
    <w:pPr>
      <w:keepLines/>
      <w:spacing w:before="120" w:after="120"/>
      <w:ind w:left="432" w:hanging="432"/>
      <w:jc w:val="both"/>
      <w:outlineLvl w:val="9"/>
    </w:pPr>
    <w:rPr>
      <w:rFonts w:ascii="Calibri" w:eastAsia="Times New Roman" w:hAnsi="Calibri"/>
      <w:bCs/>
      <w:caps w:val="0"/>
      <w:color w:val="000000"/>
      <w:sz w:val="24"/>
      <w:szCs w:val="28"/>
      <w:lang w:val="en-US" w:eastAsia="en-US" w:bidi="ar-SA"/>
    </w:rPr>
  </w:style>
  <w:style w:type="character" w:customStyle="1" w:styleId="BodyTextChar1">
    <w:name w:val="Body Text Char1"/>
    <w:basedOn w:val="DefaultParagraphFont"/>
    <w:uiPriority w:val="99"/>
    <w:semiHidden/>
    <w:rsid w:val="007A1E06"/>
  </w:style>
  <w:style w:type="paragraph" w:customStyle="1" w:styleId="citation">
    <w:name w:val="citation"/>
    <w:basedOn w:val="Normal"/>
    <w:rsid w:val="007A1E06"/>
    <w:pPr>
      <w:spacing w:before="100" w:beforeAutospacing="1" w:after="100" w:afterAutospacing="1"/>
      <w:jc w:val="both"/>
    </w:pPr>
    <w:rPr>
      <w:rFonts w:ascii="Times New Roman" w:eastAsia="Times New Roman" w:hAnsi="Times New Roman"/>
      <w:color w:val="000000"/>
      <w:sz w:val="24"/>
      <w:szCs w:val="24"/>
      <w:lang w:val="en-US" w:eastAsia="en-US"/>
    </w:rPr>
  </w:style>
  <w:style w:type="paragraph" w:customStyle="1" w:styleId="Revision1">
    <w:name w:val="Revision1"/>
    <w:next w:val="Revision"/>
    <w:hidden/>
    <w:uiPriority w:val="99"/>
    <w:semiHidden/>
    <w:rsid w:val="007A1E06"/>
    <w:rPr>
      <w:rFonts w:asciiTheme="minorHAnsi" w:eastAsia="Times New Roman"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7A1E06"/>
    <w:rPr>
      <w:color w:val="605E5C"/>
      <w:shd w:val="clear" w:color="auto" w:fill="E1DFDD"/>
    </w:rPr>
  </w:style>
  <w:style w:type="table" w:customStyle="1" w:styleId="Style41122">
    <w:name w:val="Style41122"/>
    <w:basedOn w:val="TableSimple1"/>
    <w:uiPriority w:val="99"/>
    <w:rsid w:val="007A1E06"/>
    <w:pPr>
      <w:numPr>
        <w:ilvl w:val="0"/>
        <w:numId w:val="0"/>
      </w:numPr>
      <w:spacing w:before="120" w:line="240" w:lineRule="auto"/>
    </w:pPr>
    <w:rPr>
      <w:rFonts w:ascii="Calibri" w:eastAsia="Calibri" w:hAnsi="Calibri"/>
      <w:sz w:val="22"/>
      <w:szCs w:val="22"/>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character" w:customStyle="1" w:styleId="SubtleEmphasis1">
    <w:name w:val="Subtle Emphasis1"/>
    <w:basedOn w:val="DefaultParagraphFont"/>
    <w:uiPriority w:val="19"/>
    <w:qFormat/>
    <w:rsid w:val="007A1E06"/>
    <w:rPr>
      <w:i/>
      <w:iCs/>
      <w:color w:val="808080"/>
    </w:rPr>
  </w:style>
  <w:style w:type="paragraph" w:customStyle="1" w:styleId="authlist">
    <w:name w:val="auth_list"/>
    <w:basedOn w:val="Normal"/>
    <w:uiPriority w:val="99"/>
    <w:rsid w:val="007A1E06"/>
    <w:pPr>
      <w:spacing w:before="100" w:beforeAutospacing="1" w:after="100" w:afterAutospacing="1"/>
    </w:pPr>
    <w:rPr>
      <w:rFonts w:ascii="Arial Unicode MS" w:eastAsia="Times New Roman" w:hAnsi="Arial Unicode MS"/>
      <w:sz w:val="24"/>
      <w:szCs w:val="24"/>
      <w:lang w:val="ro-RO" w:eastAsia="ro-RO"/>
    </w:rPr>
  </w:style>
  <w:style w:type="character" w:customStyle="1" w:styleId="mixed-citation">
    <w:name w:val="mixed-citation"/>
    <w:basedOn w:val="DefaultParagraphFont"/>
    <w:rsid w:val="007A1E06"/>
  </w:style>
  <w:style w:type="character" w:customStyle="1" w:styleId="ref-title">
    <w:name w:val="ref-title"/>
    <w:basedOn w:val="DefaultParagraphFont"/>
    <w:rsid w:val="007A1E06"/>
  </w:style>
  <w:style w:type="character" w:customStyle="1" w:styleId="ref-journal">
    <w:name w:val="ref-journal"/>
    <w:basedOn w:val="DefaultParagraphFont"/>
    <w:rsid w:val="007A1E06"/>
  </w:style>
  <w:style w:type="character" w:customStyle="1" w:styleId="ref-vol">
    <w:name w:val="ref-vol"/>
    <w:basedOn w:val="DefaultParagraphFont"/>
    <w:rsid w:val="007A1E06"/>
  </w:style>
  <w:style w:type="character" w:customStyle="1" w:styleId="nowrap">
    <w:name w:val="nowrap"/>
    <w:basedOn w:val="DefaultParagraphFont"/>
    <w:rsid w:val="007A1E06"/>
  </w:style>
  <w:style w:type="character" w:customStyle="1" w:styleId="title-text">
    <w:name w:val="title-text"/>
    <w:basedOn w:val="DefaultParagraphFont"/>
    <w:rsid w:val="007A1E06"/>
  </w:style>
  <w:style w:type="table" w:customStyle="1" w:styleId="TableGrid21">
    <w:name w:val="Table Grid21"/>
    <w:basedOn w:val="TableNormal"/>
    <w:next w:val="TableGrid"/>
    <w:uiPriority w:val="39"/>
    <w:rsid w:val="007A1E06"/>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
    <w:name w:val="Light Shading - Accent 21"/>
    <w:basedOn w:val="TableNormal"/>
    <w:next w:val="LightShading-Accent2"/>
    <w:uiPriority w:val="60"/>
    <w:rsid w:val="007A1E06"/>
    <w:rPr>
      <w:rFonts w:asciiTheme="minorHAnsi" w:eastAsia="Times New Roman" w:hAnsiTheme="minorHAnsi" w:cstheme="minorBid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next w:val="LightShading-Accent1"/>
    <w:uiPriority w:val="60"/>
    <w:rsid w:val="007A1E06"/>
    <w:rPr>
      <w:rFonts w:asciiTheme="minorHAnsi" w:eastAsia="Times New Roman" w:hAnsiTheme="minorHAnsi" w:cstheme="minorBid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1">
    <w:name w:val="Table Grid31"/>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1">
    <w:name w:val="Colorful List1"/>
    <w:basedOn w:val="TableNormal"/>
    <w:next w:val="ColorfulList"/>
    <w:uiPriority w:val="72"/>
    <w:rsid w:val="007A1E06"/>
    <w:rPr>
      <w:rFonts w:asciiTheme="minorHAnsi" w:eastAsia="Times New Roman" w:hAnsiTheme="minorHAnsi" w:cstheme="minorBid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List1">
    <w:name w:val="Light List1"/>
    <w:basedOn w:val="TableNormal"/>
    <w:next w:val="LightList"/>
    <w:uiPriority w:val="61"/>
    <w:rsid w:val="007A1E06"/>
    <w:rPr>
      <w:rFonts w:asciiTheme="minorHAnsi" w:eastAsia="Times New Roman" w:hAnsiTheme="minorHAnsi" w:cstheme="minorBidi"/>
      <w:sz w:val="22"/>
      <w:szCs w:val="22"/>
      <w:lang w:eastAsia="en-US"/>
    </w:rPr>
    <w:tblPr>
      <w:tblStyleRowBandSize w:val="1"/>
      <w:tblStyleColBandSize w:val="1"/>
      <w:tblBorders>
        <w:top w:val="single" w:sz="2" w:space="0" w:color="auto"/>
        <w:left w:val="single" w:sz="2" w:space="0" w:color="auto"/>
        <w:bottom w:val="single" w:sz="2" w:space="0" w:color="auto"/>
        <w:right w:val="single" w:sz="2" w:space="0" w:color="auto"/>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next w:val="LightList-Accent5"/>
    <w:uiPriority w:val="61"/>
    <w:rsid w:val="007A1E06"/>
    <w:rPr>
      <w:rFonts w:asciiTheme="minorHAnsi" w:eastAsia="Times New Roman" w:hAnsiTheme="minorHAnsi" w:cstheme="minorBid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Grid-Accent21">
    <w:name w:val="Colorful Grid - Accent 21"/>
    <w:basedOn w:val="TableNormal"/>
    <w:next w:val="ColorfulGrid-Accent2"/>
    <w:uiPriority w:val="73"/>
    <w:rsid w:val="007A1E06"/>
    <w:rPr>
      <w:rFonts w:asciiTheme="minorHAnsi" w:eastAsia="Times New Roman" w:hAnsiTheme="minorHAnsi" w:cstheme="minorBidi"/>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1">
    <w:name w:val="Colorful List - Accent 31"/>
    <w:basedOn w:val="TableNormal"/>
    <w:next w:val="ColorfulList-Accent3"/>
    <w:uiPriority w:val="72"/>
    <w:rsid w:val="007A1E06"/>
    <w:rPr>
      <w:rFonts w:asciiTheme="minorHAnsi" w:eastAsia="Times New Roman" w:hAnsiTheme="minorHAnsi" w:cstheme="minorBidi"/>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ghtList-Accent31">
    <w:name w:val="Light List - Accent 31"/>
    <w:basedOn w:val="TableNormal"/>
    <w:next w:val="LightList-Accent3"/>
    <w:uiPriority w:val="61"/>
    <w:rsid w:val="007A1E06"/>
    <w:rPr>
      <w:rFonts w:asciiTheme="minorHAnsi" w:eastAsia="Times New Roman"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1">
    <w:name w:val="Medium Shading 21"/>
    <w:basedOn w:val="TableNormal"/>
    <w:next w:val="MediumShading2"/>
    <w:uiPriority w:val="64"/>
    <w:rsid w:val="007A1E06"/>
    <w:rPr>
      <w:rFonts w:asciiTheme="minorHAnsi" w:eastAsia="Times New Roman"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e11">
    <w:name w:val="Style11"/>
    <w:basedOn w:val="TableProfessional"/>
    <w:uiPriority w:val="99"/>
    <w:rsid w:val="007A1E06"/>
    <w:pPr>
      <w:spacing w:after="0" w:line="240" w:lineRule="auto"/>
    </w:pPr>
    <w:rPr>
      <w:rFonts w:eastAsia="Times New Roman"/>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Accent41">
    <w:name w:val="Light Shading - Accent 41"/>
    <w:basedOn w:val="TableNormal"/>
    <w:next w:val="LightShading-Accent4"/>
    <w:uiPriority w:val="60"/>
    <w:rsid w:val="007A1E06"/>
    <w:rPr>
      <w:rFonts w:asciiTheme="minorHAnsi" w:eastAsia="Calibri" w:hAnsiTheme="minorHAnsi" w:cstheme="minorBid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Professional1">
    <w:name w:val="Table Professional1"/>
    <w:basedOn w:val="TableNormal"/>
    <w:next w:val="TableProfessional"/>
    <w:uiPriority w:val="99"/>
    <w:semiHidden/>
    <w:unhideWhenUsed/>
    <w:rsid w:val="007A1E06"/>
    <w:pPr>
      <w:spacing w:after="200" w:line="276" w:lineRule="auto"/>
    </w:pPr>
    <w:rPr>
      <w:rFonts w:asciiTheme="minorHAnsi" w:eastAsia="Times New Roman"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Accent42">
    <w:name w:val="Light Shading - Accent 42"/>
    <w:basedOn w:val="TableNormal"/>
    <w:next w:val="LightShading-Accent4"/>
    <w:uiPriority w:val="60"/>
    <w:rsid w:val="007A1E06"/>
    <w:rPr>
      <w:rFonts w:asciiTheme="minorHAnsi" w:eastAsia="Times New Roman" w:hAnsiTheme="minorHAnsi" w:cstheme="minorBid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5">
    <w:name w:val="Table Grid5"/>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1">
    <w:name w:val="Medium Shading 2 - Accent 41"/>
    <w:basedOn w:val="TableNormal"/>
    <w:next w:val="MediumShading2-Accent4"/>
    <w:uiPriority w:val="64"/>
    <w:rsid w:val="007A1E06"/>
    <w:rPr>
      <w:rFonts w:asciiTheme="minorHAnsi" w:eastAsia="Times New Roman"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
    <w:name w:val="Table Grid7"/>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7A1E06"/>
    <w:rPr>
      <w:rFonts w:asciiTheme="minorHAnsi" w:eastAsia="Times New Roman" w:hAnsiTheme="minorHAnsi" w:cstheme="minorBidi"/>
      <w:sz w:val="22"/>
      <w:szCs w:val="22"/>
      <w:lang w:eastAsia="en-US"/>
    </w:rPr>
    <w:tblPr/>
  </w:style>
  <w:style w:type="table" w:customStyle="1" w:styleId="mystyle">
    <w:name w:val="my style"/>
    <w:basedOn w:val="TableNormal"/>
    <w:uiPriority w:val="99"/>
    <w:rsid w:val="007A1E06"/>
    <w:rPr>
      <w:rFonts w:asciiTheme="minorHAnsi" w:eastAsia="Times New Roman" w:hAnsiTheme="minorHAnsi" w:cstheme="minorBidi"/>
      <w:sz w:val="22"/>
      <w:szCs w:val="22"/>
      <w:lang w:eastAsia="en-US"/>
    </w:rPr>
    <w:tblPr>
      <w:tblBorders>
        <w:top w:val="single" w:sz="4" w:space="0" w:color="auto"/>
        <w:bottom w:val="single" w:sz="4" w:space="0" w:color="auto"/>
      </w:tblBorders>
    </w:tblPr>
  </w:style>
  <w:style w:type="table" w:customStyle="1" w:styleId="TableGrid12">
    <w:name w:val="Table Grid12"/>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A1E06"/>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A1E06"/>
  </w:style>
  <w:style w:type="table" w:customStyle="1" w:styleId="TableGrid17">
    <w:name w:val="Table Grid17"/>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A1E06"/>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Calibri">
    <w:name w:val="Style Heading 2 + Calibri"/>
    <w:basedOn w:val="Heading2"/>
    <w:autoRedefine/>
    <w:rsid w:val="007A1E06"/>
    <w:pPr>
      <w:numPr>
        <w:ilvl w:val="1"/>
        <w:numId w:val="3"/>
      </w:numPr>
      <w:tabs>
        <w:tab w:val="left" w:pos="540"/>
      </w:tabs>
      <w:spacing w:after="60" w:line="276" w:lineRule="auto"/>
    </w:pPr>
    <w:rPr>
      <w:rFonts w:ascii="Calibri" w:eastAsia="Times New Roman" w:hAnsi="Calibri" w:cs="Arial"/>
      <w:bCs/>
      <w:color w:val="0000FF"/>
      <w:sz w:val="28"/>
      <w:szCs w:val="28"/>
      <w:lang w:val="en-IN" w:eastAsia="en-US"/>
    </w:rPr>
  </w:style>
  <w:style w:type="table" w:customStyle="1" w:styleId="TableGrid19">
    <w:name w:val="Table Grid19"/>
    <w:basedOn w:val="TableNormal"/>
    <w:next w:val="TableGrid"/>
    <w:uiPriority w:val="1"/>
    <w:rsid w:val="007A1E06"/>
    <w:pPr>
      <w:jc w:val="both"/>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7A1E06"/>
    <w:pPr>
      <w:spacing w:after="120" w:line="276" w:lineRule="auto"/>
      <w:ind w:left="360"/>
    </w:pPr>
    <w:rPr>
      <w:rFonts w:ascii="Calibri" w:eastAsia="Calibri" w:hAnsi="Calibri"/>
      <w:sz w:val="22"/>
      <w:szCs w:val="22"/>
      <w:lang w:val="en-US" w:eastAsia="en-US"/>
    </w:rPr>
  </w:style>
  <w:style w:type="character" w:customStyle="1" w:styleId="BodyTextIndentChar">
    <w:name w:val="Body Text Indent Char"/>
    <w:basedOn w:val="DefaultParagraphFont"/>
    <w:link w:val="BodyTextIndent"/>
    <w:uiPriority w:val="99"/>
    <w:rsid w:val="007A1E06"/>
    <w:rPr>
      <w:rFonts w:ascii="Calibri" w:eastAsia="Calibri" w:hAnsi="Calibri"/>
      <w:sz w:val="22"/>
      <w:szCs w:val="22"/>
      <w:lang w:eastAsia="en-US"/>
    </w:rPr>
  </w:style>
  <w:style w:type="paragraph" w:styleId="BodyTextIndent2">
    <w:name w:val="Body Text Indent 2"/>
    <w:basedOn w:val="Normal"/>
    <w:link w:val="BodyTextIndent2Char"/>
    <w:uiPriority w:val="99"/>
    <w:unhideWhenUsed/>
    <w:rsid w:val="007A1E06"/>
    <w:pPr>
      <w:spacing w:after="200" w:line="360" w:lineRule="auto"/>
      <w:ind w:left="810" w:hanging="810"/>
    </w:pPr>
    <w:rPr>
      <w:rFonts w:ascii="Cambria" w:eastAsia="Calibri" w:hAnsi="Cambria"/>
      <w:sz w:val="24"/>
      <w:szCs w:val="24"/>
      <w:lang w:val="en-US" w:eastAsia="en-US"/>
    </w:rPr>
  </w:style>
  <w:style w:type="character" w:customStyle="1" w:styleId="BodyTextIndent2Char">
    <w:name w:val="Body Text Indent 2 Char"/>
    <w:basedOn w:val="DefaultParagraphFont"/>
    <w:link w:val="BodyTextIndent2"/>
    <w:uiPriority w:val="99"/>
    <w:rsid w:val="007A1E06"/>
    <w:rPr>
      <w:rFonts w:ascii="Cambria" w:eastAsia="Calibri" w:hAnsi="Cambria"/>
      <w:sz w:val="24"/>
      <w:szCs w:val="24"/>
      <w:lang w:eastAsia="en-US"/>
    </w:rPr>
  </w:style>
  <w:style w:type="paragraph" w:styleId="BodyTextIndent3">
    <w:name w:val="Body Text Indent 3"/>
    <w:basedOn w:val="Normal"/>
    <w:link w:val="BodyTextIndent3Char"/>
    <w:uiPriority w:val="99"/>
    <w:unhideWhenUsed/>
    <w:rsid w:val="007A1E06"/>
    <w:pPr>
      <w:spacing w:after="200" w:line="360" w:lineRule="auto"/>
      <w:ind w:left="810" w:hanging="810"/>
    </w:pPr>
    <w:rPr>
      <w:rFonts w:ascii="Times New Roman" w:eastAsia="Calibri" w:hAnsi="Times New Roman"/>
      <w:sz w:val="22"/>
      <w:szCs w:val="22"/>
      <w:lang w:val="en-US" w:eastAsia="en-US"/>
    </w:rPr>
  </w:style>
  <w:style w:type="character" w:customStyle="1" w:styleId="BodyTextIndent3Char">
    <w:name w:val="Body Text Indent 3 Char"/>
    <w:basedOn w:val="DefaultParagraphFont"/>
    <w:link w:val="BodyTextIndent3"/>
    <w:uiPriority w:val="99"/>
    <w:rsid w:val="007A1E06"/>
    <w:rPr>
      <w:rFonts w:ascii="Times New Roman" w:eastAsia="Calibri" w:hAnsi="Times New Roman"/>
      <w:sz w:val="22"/>
      <w:szCs w:val="22"/>
      <w:lang w:eastAsia="en-US"/>
    </w:rPr>
  </w:style>
  <w:style w:type="character" w:customStyle="1" w:styleId="algo-summary">
    <w:name w:val="algo-summary"/>
    <w:basedOn w:val="DefaultParagraphFont"/>
    <w:rsid w:val="007A1E06"/>
  </w:style>
  <w:style w:type="paragraph" w:styleId="Bibliography">
    <w:name w:val="Bibliography"/>
    <w:basedOn w:val="Normal"/>
    <w:next w:val="Normal"/>
    <w:uiPriority w:val="37"/>
    <w:unhideWhenUsed/>
    <w:rsid w:val="007A1E06"/>
    <w:pPr>
      <w:spacing w:after="200" w:line="276" w:lineRule="auto"/>
    </w:pPr>
    <w:rPr>
      <w:rFonts w:ascii="Calibri" w:eastAsia="Calibri" w:hAnsi="Calibri"/>
      <w:sz w:val="22"/>
      <w:szCs w:val="22"/>
      <w:lang w:val="en-US" w:eastAsia="en-US"/>
    </w:rPr>
  </w:style>
  <w:style w:type="table" w:customStyle="1" w:styleId="TableGrid110">
    <w:name w:val="Table Grid110"/>
    <w:basedOn w:val="TableNormal"/>
    <w:uiPriority w:val="59"/>
    <w:rsid w:val="007A1E0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SubjectChar2">
    <w:name w:val="Comment Subject Char2"/>
    <w:basedOn w:val="CommentTextChar"/>
    <w:uiPriority w:val="99"/>
    <w:semiHidden/>
    <w:rsid w:val="007A1E06"/>
    <w:rPr>
      <w:rFonts w:ascii="Calibri" w:eastAsia="Times New Roman" w:hAnsi="Calibri" w:cs="Times New Roman"/>
      <w:b/>
      <w:bCs/>
      <w:sz w:val="20"/>
      <w:szCs w:val="20"/>
      <w:lang w:val="it-IT" w:eastAsia="it-IT"/>
    </w:rPr>
  </w:style>
  <w:style w:type="character" w:customStyle="1" w:styleId="EndnoteTextChar2">
    <w:name w:val="Endnote Text Char2"/>
    <w:basedOn w:val="DefaultParagraphFont"/>
    <w:uiPriority w:val="99"/>
    <w:semiHidden/>
    <w:rsid w:val="007A1E06"/>
    <w:rPr>
      <w:rFonts w:ascii="Calibri" w:eastAsia="Calibri" w:hAnsi="Calibri" w:cs="Times New Roman"/>
      <w:sz w:val="20"/>
      <w:szCs w:val="20"/>
    </w:rPr>
  </w:style>
  <w:style w:type="table" w:styleId="LightShading-Accent2">
    <w:name w:val="Light Shading Accent 2"/>
    <w:basedOn w:val="TableNormal"/>
    <w:uiPriority w:val="60"/>
    <w:unhideWhenUsed/>
    <w:rsid w:val="007A1E06"/>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unhideWhenUsed/>
    <w:rsid w:val="007A1E06"/>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List">
    <w:name w:val="Colorful List"/>
    <w:basedOn w:val="TableNormal"/>
    <w:uiPriority w:val="72"/>
    <w:unhideWhenUsed/>
    <w:rsid w:val="007A1E06"/>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
    <w:name w:val="Light List"/>
    <w:basedOn w:val="TableNormal"/>
    <w:uiPriority w:val="61"/>
    <w:unhideWhenUsed/>
    <w:rsid w:val="007A1E0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unhideWhenUsed/>
    <w:rsid w:val="007A1E06"/>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ColorfulGrid-Accent2">
    <w:name w:val="Colorful Grid Accent 2"/>
    <w:basedOn w:val="TableNormal"/>
    <w:uiPriority w:val="73"/>
    <w:unhideWhenUsed/>
    <w:rsid w:val="007A1E06"/>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List-Accent3">
    <w:name w:val="Colorful List Accent 3"/>
    <w:basedOn w:val="TableNormal"/>
    <w:uiPriority w:val="72"/>
    <w:unhideWhenUsed/>
    <w:rsid w:val="007A1E06"/>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ghtList-Accent3">
    <w:name w:val="Light List Accent 3"/>
    <w:basedOn w:val="TableNormal"/>
    <w:uiPriority w:val="61"/>
    <w:unhideWhenUsed/>
    <w:rsid w:val="007A1E06"/>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
    <w:name w:val="Medium Shading 2"/>
    <w:basedOn w:val="TableNormal"/>
    <w:uiPriority w:val="64"/>
    <w:unhideWhenUsed/>
    <w:rsid w:val="007A1E0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Professional">
    <w:name w:val="Table Professional"/>
    <w:basedOn w:val="TableNormal"/>
    <w:uiPriority w:val="99"/>
    <w:semiHidden/>
    <w:unhideWhenUsed/>
    <w:rsid w:val="007A1E06"/>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Accent4">
    <w:name w:val="Light Shading Accent 4"/>
    <w:basedOn w:val="TableNormal"/>
    <w:uiPriority w:val="60"/>
    <w:unhideWhenUsed/>
    <w:rsid w:val="007A1E06"/>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2-Accent4">
    <w:name w:val="Medium Shading 2 Accent 4"/>
    <w:basedOn w:val="TableNormal"/>
    <w:uiPriority w:val="64"/>
    <w:unhideWhenUsed/>
    <w:rsid w:val="007A1E0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lassic1">
    <w:name w:val="Table Classic 1"/>
    <w:basedOn w:val="TableNormal"/>
    <w:uiPriority w:val="99"/>
    <w:unhideWhenUsed/>
    <w:qFormat/>
    <w:rsid w:val="00F43333"/>
    <w:rPr>
      <w:rFonts w:ascii="Times New Roman" w:eastAsia="Times New Roman" w:hAnsi="Times New Roman"/>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il"/>
          <w:tr2bl w:val="nil"/>
        </w:tcBorders>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rFonts w:ascii="Times New Roman" w:hAnsi="Times New Roman" w:cs="Times New Roman" w:hint="default"/>
        <w:b/>
        <w:bCs/>
        <w:i w:val="0"/>
        <w:iCs w:val="0"/>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table" w:customStyle="1" w:styleId="TableClassic11">
    <w:name w:val="Table Classic 11"/>
    <w:basedOn w:val="TableNormal"/>
    <w:next w:val="TableClassic1"/>
    <w:uiPriority w:val="99"/>
    <w:unhideWhenUsed/>
    <w:qFormat/>
    <w:rsid w:val="00F43333"/>
    <w:rPr>
      <w:rFonts w:ascii="Times New Roman" w:eastAsia="Times New Roman" w:hAnsi="Times New Roman"/>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il"/>
          <w:tr2bl w:val="nil"/>
        </w:tcBorders>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rFonts w:ascii="Times New Roman" w:hAnsi="Times New Roman" w:cs="Times New Roman" w:hint="default"/>
        <w:b/>
        <w:bCs/>
        <w:i w:val="0"/>
        <w:iCs w:val="0"/>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table" w:customStyle="1" w:styleId="TableClassic12">
    <w:name w:val="Table Classic 12"/>
    <w:basedOn w:val="TableNormal"/>
    <w:next w:val="TableClassic1"/>
    <w:uiPriority w:val="99"/>
    <w:unhideWhenUsed/>
    <w:qFormat/>
    <w:rsid w:val="00F43333"/>
    <w:rPr>
      <w:rFonts w:ascii="Times New Roman" w:eastAsia="Times New Roman" w:hAnsi="Times New Roman"/>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il"/>
          <w:tr2bl w:val="nil"/>
        </w:tcBorders>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rFonts w:ascii="Times New Roman" w:hAnsi="Times New Roman" w:cs="Times New Roman" w:hint="default"/>
        <w:b/>
        <w:bCs/>
        <w:i w:val="0"/>
        <w:iCs w:val="0"/>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table" w:customStyle="1" w:styleId="TableClassic121">
    <w:name w:val="Table Classic 121"/>
    <w:basedOn w:val="TableNormal"/>
    <w:next w:val="TableClassic1"/>
    <w:uiPriority w:val="99"/>
    <w:unhideWhenUsed/>
    <w:qFormat/>
    <w:rsid w:val="00F43333"/>
    <w:rPr>
      <w:rFonts w:ascii="Times New Roman" w:eastAsia="Times New Roman" w:hAnsi="Times New Roman"/>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il"/>
          <w:tr2bl w:val="nil"/>
        </w:tcBorders>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rFonts w:ascii="Times New Roman" w:hAnsi="Times New Roman" w:cs="Times New Roman" w:hint="default"/>
        <w:b/>
        <w:bCs/>
        <w:i w:val="0"/>
        <w:iCs w:val="0"/>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table" w:customStyle="1" w:styleId="TableClassic13">
    <w:name w:val="Table Classic 13"/>
    <w:basedOn w:val="TableNormal"/>
    <w:next w:val="TableClassic1"/>
    <w:uiPriority w:val="99"/>
    <w:unhideWhenUsed/>
    <w:qFormat/>
    <w:rsid w:val="00F43333"/>
    <w:rPr>
      <w:rFonts w:ascii="Times New Roman" w:eastAsia="Times New Roman" w:hAnsi="Times New Roman"/>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il"/>
          <w:tr2bl w:val="nil"/>
        </w:tcBorders>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rFonts w:ascii="Times New Roman" w:hAnsi="Times New Roman" w:cs="Times New Roman" w:hint="default"/>
        <w:b/>
        <w:bCs/>
        <w:i w:val="0"/>
        <w:iCs w:val="0"/>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numbering" w:customStyle="1" w:styleId="NoList21">
    <w:name w:val="No List21"/>
    <w:next w:val="NoList"/>
    <w:uiPriority w:val="99"/>
    <w:semiHidden/>
    <w:unhideWhenUsed/>
    <w:rsid w:val="00F43333"/>
  </w:style>
  <w:style w:type="table" w:customStyle="1" w:styleId="TableGrid211">
    <w:name w:val="Table Grid211"/>
    <w:basedOn w:val="TableNormal"/>
    <w:next w:val="TableGrid"/>
    <w:uiPriority w:val="59"/>
    <w:rsid w:val="00F43333"/>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Web2">
    <w:name w:val="Table Web 2"/>
    <w:basedOn w:val="TableNormal"/>
    <w:unhideWhenUsed/>
    <w:rsid w:val="008F6EF7"/>
    <w:rPr>
      <w:rFonts w:ascii="Times New Roman" w:eastAsia="PMingLiU"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8F6EF7"/>
    <w:rPr>
      <w:rFonts w:ascii="Times New Roman" w:eastAsia="PMingLiU"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3">
    <w:name w:val="Table List 3"/>
    <w:basedOn w:val="TableNormal"/>
    <w:rsid w:val="008F6EF7"/>
    <w:rPr>
      <w:rFonts w:ascii="Times New Roman" w:eastAsia="PMingLiU"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A11">
    <w:name w:val="A11"/>
    <w:uiPriority w:val="99"/>
    <w:rsid w:val="008F6EF7"/>
    <w:rPr>
      <w:rFonts w:cs="Minion Pro"/>
      <w:color w:val="000000"/>
      <w:sz w:val="22"/>
      <w:szCs w:val="22"/>
    </w:rPr>
  </w:style>
  <w:style w:type="table" w:customStyle="1" w:styleId="ListTable6Colorful1">
    <w:name w:val="List Table 6 Colorful1"/>
    <w:basedOn w:val="TableNormal"/>
    <w:uiPriority w:val="51"/>
    <w:rsid w:val="008F6EF7"/>
    <w:rPr>
      <w:rFonts w:asciiTheme="minorHAnsi" w:eastAsiaTheme="minorEastAsia" w:hAnsiTheme="minorHAnsi" w:cstheme="minorBidi"/>
      <w:color w:val="000000" w:themeColor="text1"/>
      <w:sz w:val="22"/>
      <w:szCs w:val="22"/>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2-Accent1">
    <w:name w:val="Medium List 2 Accent 1"/>
    <w:basedOn w:val="TableNormal"/>
    <w:uiPriority w:val="66"/>
    <w:rsid w:val="00D11FC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
    <w:name w:val="Table"/>
    <w:basedOn w:val="NoSpacing"/>
    <w:link w:val="TableChar"/>
    <w:qFormat/>
    <w:rsid w:val="00D11FCC"/>
    <w:rPr>
      <w:rFonts w:ascii="Times New Roman" w:eastAsiaTheme="minorHAnsi" w:hAnsi="Times New Roman"/>
      <w:sz w:val="24"/>
    </w:rPr>
  </w:style>
  <w:style w:type="paragraph" w:customStyle="1" w:styleId="Figuer">
    <w:name w:val="Figuer"/>
    <w:basedOn w:val="Normal"/>
    <w:link w:val="FiguerChar"/>
    <w:qFormat/>
    <w:rsid w:val="00CF7A4B"/>
    <w:pPr>
      <w:spacing w:after="160" w:line="360" w:lineRule="auto"/>
      <w:jc w:val="both"/>
    </w:pPr>
    <w:rPr>
      <w:rFonts w:ascii="Times New Roman" w:eastAsia="Calibri" w:hAnsi="Times New Roman"/>
      <w:color w:val="000000"/>
      <w:sz w:val="24"/>
      <w:szCs w:val="24"/>
      <w:lang w:val="en-US" w:eastAsia="en-US"/>
    </w:rPr>
  </w:style>
  <w:style w:type="character" w:customStyle="1" w:styleId="FiguerChar">
    <w:name w:val="Figuer Char"/>
    <w:basedOn w:val="DefaultParagraphFont"/>
    <w:link w:val="Figuer"/>
    <w:rsid w:val="00CF7A4B"/>
    <w:rPr>
      <w:rFonts w:ascii="Times New Roman" w:eastAsia="Calibri" w:hAnsi="Times New Roman"/>
      <w:color w:val="000000"/>
      <w:sz w:val="24"/>
      <w:szCs w:val="24"/>
      <w:lang w:eastAsia="en-US"/>
    </w:rPr>
  </w:style>
  <w:style w:type="character" w:customStyle="1" w:styleId="TableChar">
    <w:name w:val="Table Char"/>
    <w:basedOn w:val="FiguerChar"/>
    <w:link w:val="Table"/>
    <w:rsid w:val="00CF7A4B"/>
    <w:rPr>
      <w:rFonts w:ascii="Times New Roman" w:eastAsiaTheme="minorHAnsi" w:hAnsi="Times New Roman"/>
      <w:color w:val="000000"/>
      <w:sz w:val="24"/>
      <w:szCs w:val="22"/>
      <w:lang w:eastAsia="en-US"/>
    </w:rPr>
  </w:style>
  <w:style w:type="paragraph" w:customStyle="1" w:styleId="Appendixtable">
    <w:name w:val="Appendix table"/>
    <w:basedOn w:val="Normal"/>
    <w:link w:val="AppendixtableChar"/>
    <w:qFormat/>
    <w:rsid w:val="00CF7A4B"/>
    <w:pPr>
      <w:spacing w:after="160" w:line="259" w:lineRule="auto"/>
    </w:pPr>
    <w:rPr>
      <w:rFonts w:ascii="Times New Roman" w:eastAsia="Calibri" w:hAnsi="Times New Roman"/>
      <w:sz w:val="24"/>
      <w:szCs w:val="24"/>
      <w:lang w:val="en-US" w:eastAsia="en-US"/>
    </w:rPr>
  </w:style>
  <w:style w:type="character" w:customStyle="1" w:styleId="AppendixtableChar">
    <w:name w:val="Appendix table Char"/>
    <w:basedOn w:val="DefaultParagraphFont"/>
    <w:link w:val="Appendixtable"/>
    <w:rsid w:val="00CF7A4B"/>
    <w:rPr>
      <w:rFonts w:ascii="Times New Roman" w:eastAsia="Calibri" w:hAnsi="Times New Roman"/>
      <w:sz w:val="24"/>
      <w:szCs w:val="24"/>
      <w:lang w:eastAsia="en-US"/>
    </w:rPr>
  </w:style>
  <w:style w:type="paragraph" w:customStyle="1" w:styleId="AppendixFiguress">
    <w:name w:val="Appendix Figuress"/>
    <w:basedOn w:val="Normal"/>
    <w:link w:val="AppendixFiguressChar"/>
    <w:qFormat/>
    <w:rsid w:val="00CF7A4B"/>
    <w:pPr>
      <w:spacing w:after="160" w:line="259" w:lineRule="auto"/>
    </w:pPr>
    <w:rPr>
      <w:rFonts w:ascii="Times New Roman" w:eastAsia="Calibri" w:hAnsi="Times New Roman"/>
      <w:color w:val="000000"/>
      <w:sz w:val="24"/>
      <w:szCs w:val="24"/>
      <w:lang w:val="en-US" w:eastAsia="en-US"/>
    </w:rPr>
  </w:style>
  <w:style w:type="character" w:customStyle="1" w:styleId="AppendixFiguressChar">
    <w:name w:val="Appendix Figuress Char"/>
    <w:basedOn w:val="DefaultParagraphFont"/>
    <w:link w:val="AppendixFiguress"/>
    <w:rsid w:val="00CF7A4B"/>
    <w:rPr>
      <w:rFonts w:ascii="Times New Roman" w:eastAsia="Calibri" w:hAnsi="Times New Roman"/>
      <w:color w:val="000000"/>
      <w:sz w:val="24"/>
      <w:szCs w:val="24"/>
      <w:lang w:eastAsia="en-US"/>
    </w:rPr>
  </w:style>
  <w:style w:type="character" w:customStyle="1" w:styleId="A7">
    <w:name w:val="A7"/>
    <w:uiPriority w:val="99"/>
    <w:rsid w:val="00CF7A4B"/>
    <w:rPr>
      <w:i/>
      <w:iCs/>
      <w:color w:val="000000"/>
      <w:sz w:val="20"/>
      <w:szCs w:val="20"/>
    </w:rPr>
  </w:style>
  <w:style w:type="table" w:customStyle="1" w:styleId="TableGrid20">
    <w:name w:val="Table Grid20"/>
    <w:basedOn w:val="TableNormal"/>
    <w:next w:val="TableGrid"/>
    <w:uiPriority w:val="59"/>
    <w:rsid w:val="00CF7A4B"/>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eitemhidden">
    <w:name w:val="mceitemhidden"/>
    <w:basedOn w:val="DefaultParagraphFont"/>
    <w:rsid w:val="00CF7A4B"/>
  </w:style>
  <w:style w:type="character" w:customStyle="1" w:styleId="hiddenspellerror">
    <w:name w:val="hiddenspellerror"/>
    <w:basedOn w:val="DefaultParagraphFont"/>
    <w:rsid w:val="00CF7A4B"/>
  </w:style>
  <w:style w:type="table" w:customStyle="1" w:styleId="LightShading2">
    <w:name w:val="Light Shading2"/>
    <w:basedOn w:val="TableNormal"/>
    <w:uiPriority w:val="60"/>
    <w:rsid w:val="00CF7A4B"/>
    <w:pPr>
      <w:jc w:val="center"/>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sb9">
    <w:name w:val="lsb9"/>
    <w:basedOn w:val="DefaultParagraphFont"/>
    <w:rsid w:val="00CF7A4B"/>
  </w:style>
  <w:style w:type="character" w:customStyle="1" w:styleId="lsb7">
    <w:name w:val="lsb7"/>
    <w:basedOn w:val="DefaultParagraphFont"/>
    <w:rsid w:val="00CF7A4B"/>
  </w:style>
  <w:style w:type="character" w:customStyle="1" w:styleId="ws66a">
    <w:name w:val="ws66a"/>
    <w:basedOn w:val="DefaultParagraphFont"/>
    <w:rsid w:val="00CF7A4B"/>
  </w:style>
  <w:style w:type="character" w:customStyle="1" w:styleId="ffe">
    <w:name w:val="ffe"/>
    <w:basedOn w:val="DefaultParagraphFont"/>
    <w:rsid w:val="00CF7A4B"/>
  </w:style>
  <w:style w:type="character" w:customStyle="1" w:styleId="ls32">
    <w:name w:val="ls32"/>
    <w:basedOn w:val="DefaultParagraphFont"/>
    <w:rsid w:val="00CF7A4B"/>
  </w:style>
  <w:style w:type="character" w:customStyle="1" w:styleId="ff9">
    <w:name w:val="ff9"/>
    <w:basedOn w:val="DefaultParagraphFont"/>
    <w:rsid w:val="00CF7A4B"/>
  </w:style>
  <w:style w:type="character" w:customStyle="1" w:styleId="ffc">
    <w:name w:val="ffc"/>
    <w:basedOn w:val="DefaultParagraphFont"/>
    <w:rsid w:val="00CF7A4B"/>
  </w:style>
  <w:style w:type="character" w:customStyle="1" w:styleId="lsba">
    <w:name w:val="lsba"/>
    <w:basedOn w:val="DefaultParagraphFont"/>
    <w:rsid w:val="00CF7A4B"/>
  </w:style>
  <w:style w:type="character" w:customStyle="1" w:styleId="lsbc">
    <w:name w:val="lsbc"/>
    <w:basedOn w:val="DefaultParagraphFont"/>
    <w:rsid w:val="00CF7A4B"/>
  </w:style>
  <w:style w:type="character" w:customStyle="1" w:styleId="lsb4">
    <w:name w:val="lsb4"/>
    <w:basedOn w:val="DefaultParagraphFont"/>
    <w:rsid w:val="00CF7A4B"/>
  </w:style>
  <w:style w:type="character" w:customStyle="1" w:styleId="sw">
    <w:name w:val="sw"/>
    <w:basedOn w:val="DefaultParagraphFont"/>
    <w:rsid w:val="00CF7A4B"/>
  </w:style>
  <w:style w:type="table" w:customStyle="1" w:styleId="TableGrid22">
    <w:name w:val="Table Grid22"/>
    <w:basedOn w:val="TableNormal"/>
    <w:next w:val="TableGrid"/>
    <w:uiPriority w:val="59"/>
    <w:rsid w:val="00CF7A4B"/>
    <w:rPr>
      <w:rFonts w:asciiTheme="minorHAnsi" w:eastAsia="MS Mincho"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CF7A4B"/>
    <w:rPr>
      <w:rFonts w:asciiTheme="minorHAnsi" w:eastAsiaTheme="minorHAnsi" w:hAnsiTheme="minorHAnsi" w:cstheme="minorBid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go">
    <w:name w:val="go"/>
    <w:basedOn w:val="DefaultParagraphFont"/>
    <w:rsid w:val="00CF7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4465">
      <w:bodyDiv w:val="1"/>
      <w:marLeft w:val="0"/>
      <w:marRight w:val="0"/>
      <w:marTop w:val="0"/>
      <w:marBottom w:val="0"/>
      <w:divBdr>
        <w:top w:val="none" w:sz="0" w:space="0" w:color="auto"/>
        <w:left w:val="none" w:sz="0" w:space="0" w:color="auto"/>
        <w:bottom w:val="none" w:sz="0" w:space="0" w:color="auto"/>
        <w:right w:val="none" w:sz="0" w:space="0" w:color="auto"/>
      </w:divBdr>
    </w:div>
    <w:div w:id="747966107">
      <w:bodyDiv w:val="1"/>
      <w:marLeft w:val="0"/>
      <w:marRight w:val="0"/>
      <w:marTop w:val="0"/>
      <w:marBottom w:val="0"/>
      <w:divBdr>
        <w:top w:val="none" w:sz="0" w:space="0" w:color="auto"/>
        <w:left w:val="none" w:sz="0" w:space="0" w:color="auto"/>
        <w:bottom w:val="none" w:sz="0" w:space="0" w:color="auto"/>
        <w:right w:val="none" w:sz="0" w:space="0" w:color="auto"/>
      </w:divBdr>
      <w:divsChild>
        <w:div w:id="2048021231">
          <w:marLeft w:val="0"/>
          <w:marRight w:val="0"/>
          <w:marTop w:val="0"/>
          <w:marBottom w:val="0"/>
          <w:divBdr>
            <w:top w:val="none" w:sz="0" w:space="0" w:color="auto"/>
            <w:left w:val="none" w:sz="0" w:space="0" w:color="auto"/>
            <w:bottom w:val="none" w:sz="0" w:space="0" w:color="auto"/>
            <w:right w:val="none" w:sz="0" w:space="0" w:color="auto"/>
          </w:divBdr>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
    <w:div w:id="1480999515">
      <w:bodyDiv w:val="1"/>
      <w:marLeft w:val="0"/>
      <w:marRight w:val="0"/>
      <w:marTop w:val="0"/>
      <w:marBottom w:val="0"/>
      <w:divBdr>
        <w:top w:val="none" w:sz="0" w:space="0" w:color="auto"/>
        <w:left w:val="none" w:sz="0" w:space="0" w:color="auto"/>
        <w:bottom w:val="none" w:sz="0" w:space="0" w:color="auto"/>
        <w:right w:val="none" w:sz="0" w:space="0" w:color="auto"/>
      </w:divBdr>
    </w:div>
    <w:div w:id="184813581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haimanotm27@gmaill.com" TargetMode="External"/><Relationship Id="rId14" Type="http://schemas.openxmlformats.org/officeDocument/2006/relationships/image" Target="media/image3.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Final</a:t>
            </a:r>
            <a:r>
              <a:rPr lang="en-US" sz="1200" baseline="0">
                <a:latin typeface="Times New Roman" pitchFamily="18" charset="0"/>
                <a:cs typeface="Times New Roman" pitchFamily="18" charset="0"/>
              </a:rPr>
              <a:t> wight</a:t>
            </a:r>
            <a:endParaRPr lang="en-US"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weight!$B$1</c:f>
              <c:strCache>
                <c:ptCount val="1"/>
                <c:pt idx="0">
                  <c:v>3fish/m2</c:v>
                </c:pt>
              </c:strCache>
            </c:strRef>
          </c:tx>
          <c:cat>
            <c:strRef>
              <c:f>weight!$A$2:$A$8</c:f>
              <c:strCache>
                <c:ptCount val="7"/>
                <c:pt idx="0">
                  <c:v>Febreway</c:v>
                </c:pt>
                <c:pt idx="1">
                  <c:v>March</c:v>
                </c:pt>
                <c:pt idx="2">
                  <c:v>April</c:v>
                </c:pt>
                <c:pt idx="3">
                  <c:v>May </c:v>
                </c:pt>
                <c:pt idx="4">
                  <c:v>June</c:v>
                </c:pt>
                <c:pt idx="5">
                  <c:v>July</c:v>
                </c:pt>
                <c:pt idx="6">
                  <c:v>August</c:v>
                </c:pt>
              </c:strCache>
            </c:strRef>
          </c:cat>
          <c:val>
            <c:numRef>
              <c:f>weight!$B$2:$B$8</c:f>
              <c:numCache>
                <c:formatCode>General</c:formatCode>
                <c:ptCount val="7"/>
                <c:pt idx="0">
                  <c:v>26.31</c:v>
                </c:pt>
                <c:pt idx="1">
                  <c:v>50.5</c:v>
                </c:pt>
                <c:pt idx="2">
                  <c:v>79.34</c:v>
                </c:pt>
                <c:pt idx="3">
                  <c:v>111.16</c:v>
                </c:pt>
                <c:pt idx="4">
                  <c:v>142.38999999999999</c:v>
                </c:pt>
                <c:pt idx="5">
                  <c:v>164.38</c:v>
                </c:pt>
                <c:pt idx="6">
                  <c:v>182.62</c:v>
                </c:pt>
              </c:numCache>
            </c:numRef>
          </c:val>
          <c:smooth val="0"/>
          <c:extLst>
            <c:ext xmlns:c16="http://schemas.microsoft.com/office/drawing/2014/chart" uri="{C3380CC4-5D6E-409C-BE32-E72D297353CC}">
              <c16:uniqueId val="{00000000-814D-4EE9-A129-BC4E8D764C82}"/>
            </c:ext>
          </c:extLst>
        </c:ser>
        <c:ser>
          <c:idx val="1"/>
          <c:order val="1"/>
          <c:tx>
            <c:strRef>
              <c:f>weight!$C$1</c:f>
              <c:strCache>
                <c:ptCount val="1"/>
                <c:pt idx="0">
                  <c:v>5fish/m2</c:v>
                </c:pt>
              </c:strCache>
            </c:strRef>
          </c:tx>
          <c:cat>
            <c:strRef>
              <c:f>weight!$A$2:$A$8</c:f>
              <c:strCache>
                <c:ptCount val="7"/>
                <c:pt idx="0">
                  <c:v>Febreway</c:v>
                </c:pt>
                <c:pt idx="1">
                  <c:v>March</c:v>
                </c:pt>
                <c:pt idx="2">
                  <c:v>April</c:v>
                </c:pt>
                <c:pt idx="3">
                  <c:v>May </c:v>
                </c:pt>
                <c:pt idx="4">
                  <c:v>June</c:v>
                </c:pt>
                <c:pt idx="5">
                  <c:v>July</c:v>
                </c:pt>
                <c:pt idx="6">
                  <c:v>August</c:v>
                </c:pt>
              </c:strCache>
            </c:strRef>
          </c:cat>
          <c:val>
            <c:numRef>
              <c:f>weight!$C$2:$C$8</c:f>
              <c:numCache>
                <c:formatCode>General</c:formatCode>
                <c:ptCount val="7"/>
                <c:pt idx="0">
                  <c:v>26.31</c:v>
                </c:pt>
                <c:pt idx="1">
                  <c:v>46.58</c:v>
                </c:pt>
                <c:pt idx="2">
                  <c:v>71.180000000000007</c:v>
                </c:pt>
                <c:pt idx="3">
                  <c:v>100.54</c:v>
                </c:pt>
                <c:pt idx="4">
                  <c:v>128.66999999999999</c:v>
                </c:pt>
                <c:pt idx="5">
                  <c:v>149.44999999999999</c:v>
                </c:pt>
                <c:pt idx="6">
                  <c:v>163.27000000000001</c:v>
                </c:pt>
              </c:numCache>
            </c:numRef>
          </c:val>
          <c:smooth val="0"/>
          <c:extLst>
            <c:ext xmlns:c16="http://schemas.microsoft.com/office/drawing/2014/chart" uri="{C3380CC4-5D6E-409C-BE32-E72D297353CC}">
              <c16:uniqueId val="{00000001-814D-4EE9-A129-BC4E8D764C82}"/>
            </c:ext>
          </c:extLst>
        </c:ser>
        <c:ser>
          <c:idx val="2"/>
          <c:order val="2"/>
          <c:tx>
            <c:strRef>
              <c:f>weight!$D$1</c:f>
              <c:strCache>
                <c:ptCount val="1"/>
                <c:pt idx="0">
                  <c:v>7fish/m2</c:v>
                </c:pt>
              </c:strCache>
            </c:strRef>
          </c:tx>
          <c:cat>
            <c:strRef>
              <c:f>weight!$A$2:$A$8</c:f>
              <c:strCache>
                <c:ptCount val="7"/>
                <c:pt idx="0">
                  <c:v>Febreway</c:v>
                </c:pt>
                <c:pt idx="1">
                  <c:v>March</c:v>
                </c:pt>
                <c:pt idx="2">
                  <c:v>April</c:v>
                </c:pt>
                <c:pt idx="3">
                  <c:v>May </c:v>
                </c:pt>
                <c:pt idx="4">
                  <c:v>June</c:v>
                </c:pt>
                <c:pt idx="5">
                  <c:v>July</c:v>
                </c:pt>
                <c:pt idx="6">
                  <c:v>August</c:v>
                </c:pt>
              </c:strCache>
            </c:strRef>
          </c:cat>
          <c:val>
            <c:numRef>
              <c:f>weight!$D$2:$D$8</c:f>
              <c:numCache>
                <c:formatCode>General</c:formatCode>
                <c:ptCount val="7"/>
                <c:pt idx="0">
                  <c:v>26.31</c:v>
                </c:pt>
                <c:pt idx="1">
                  <c:v>44.57</c:v>
                </c:pt>
                <c:pt idx="2">
                  <c:v>67.260000000000005</c:v>
                </c:pt>
                <c:pt idx="3">
                  <c:v>94.72</c:v>
                </c:pt>
                <c:pt idx="4">
                  <c:v>118.67</c:v>
                </c:pt>
                <c:pt idx="5">
                  <c:v>138.4</c:v>
                </c:pt>
                <c:pt idx="6">
                  <c:v>153.5</c:v>
                </c:pt>
              </c:numCache>
            </c:numRef>
          </c:val>
          <c:smooth val="0"/>
          <c:extLst>
            <c:ext xmlns:c16="http://schemas.microsoft.com/office/drawing/2014/chart" uri="{C3380CC4-5D6E-409C-BE32-E72D297353CC}">
              <c16:uniqueId val="{00000002-814D-4EE9-A129-BC4E8D764C82}"/>
            </c:ext>
          </c:extLst>
        </c:ser>
        <c:dLbls>
          <c:showLegendKey val="0"/>
          <c:showVal val="0"/>
          <c:showCatName val="0"/>
          <c:showSerName val="0"/>
          <c:showPercent val="0"/>
          <c:showBubbleSize val="0"/>
        </c:dLbls>
        <c:marker val="1"/>
        <c:smooth val="0"/>
        <c:axId val="325796224"/>
        <c:axId val="325798528"/>
      </c:lineChart>
      <c:catAx>
        <c:axId val="325796224"/>
        <c:scaling>
          <c:orientation val="minMax"/>
        </c:scaling>
        <c:delete val="0"/>
        <c:axPos val="b"/>
        <c:title>
          <c:tx>
            <c:rich>
              <a:bodyPr/>
              <a:lstStyle/>
              <a:p>
                <a:pPr>
                  <a:defRPr/>
                </a:pPr>
                <a:r>
                  <a:rPr lang="en-US"/>
                  <a:t>Culturing</a:t>
                </a:r>
                <a:r>
                  <a:rPr lang="en-US" baseline="0"/>
                  <a:t> time in 2022</a:t>
                </a:r>
                <a:endParaRPr lang="en-US"/>
              </a:p>
            </c:rich>
          </c:tx>
          <c:overlay val="0"/>
        </c:title>
        <c:numFmt formatCode="General" sourceLinked="0"/>
        <c:majorTickMark val="out"/>
        <c:minorTickMark val="none"/>
        <c:tickLblPos val="nextTo"/>
        <c:crossAx val="325798528"/>
        <c:crosses val="autoZero"/>
        <c:auto val="1"/>
        <c:lblAlgn val="ctr"/>
        <c:lblOffset val="100"/>
        <c:noMultiLvlLbl val="0"/>
      </c:catAx>
      <c:valAx>
        <c:axId val="325798528"/>
        <c:scaling>
          <c:orientation val="minMax"/>
        </c:scaling>
        <c:delete val="0"/>
        <c:axPos val="l"/>
        <c:majorGridlines/>
        <c:title>
          <c:tx>
            <c:rich>
              <a:bodyPr rot="-5400000" vert="horz"/>
              <a:lstStyle/>
              <a:p>
                <a:pPr>
                  <a:defRPr/>
                </a:pPr>
                <a:r>
                  <a:rPr lang="en-US"/>
                  <a:t>Final wight (g)</a:t>
                </a:r>
              </a:p>
            </c:rich>
          </c:tx>
          <c:overlay val="0"/>
        </c:title>
        <c:numFmt formatCode="General" sourceLinked="1"/>
        <c:majorTickMark val="out"/>
        <c:minorTickMark val="none"/>
        <c:tickLblPos val="nextTo"/>
        <c:crossAx val="32579622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a:t>yield</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Sheet10!$A$2</c:f>
              <c:strCache>
                <c:ptCount val="1"/>
                <c:pt idx="0">
                  <c:v>yield</c:v>
                </c:pt>
              </c:strCache>
            </c:strRef>
          </c:tx>
          <c:invertIfNegative val="0"/>
          <c:cat>
            <c:strRef>
              <c:f>Sheet10!$B$1:$D$1</c:f>
              <c:strCache>
                <c:ptCount val="3"/>
                <c:pt idx="0">
                  <c:v>3fishm/m2 </c:v>
                </c:pt>
                <c:pt idx="1">
                  <c:v>3 fish/m2</c:v>
                </c:pt>
                <c:pt idx="2">
                  <c:v>3 fish/m2</c:v>
                </c:pt>
              </c:strCache>
            </c:strRef>
          </c:cat>
          <c:val>
            <c:numRef>
              <c:f>Sheet10!$B$2:$D$2</c:f>
              <c:numCache>
                <c:formatCode>General</c:formatCode>
                <c:ptCount val="3"/>
                <c:pt idx="0">
                  <c:v>0.51</c:v>
                </c:pt>
                <c:pt idx="1">
                  <c:v>0.75</c:v>
                </c:pt>
                <c:pt idx="2">
                  <c:v>0.98</c:v>
                </c:pt>
              </c:numCache>
            </c:numRef>
          </c:val>
          <c:extLst>
            <c:ext xmlns:c16="http://schemas.microsoft.com/office/drawing/2014/chart" uri="{C3380CC4-5D6E-409C-BE32-E72D297353CC}">
              <c16:uniqueId val="{00000000-798C-40BF-BB0D-F901EB4BFBB3}"/>
            </c:ext>
          </c:extLst>
        </c:ser>
        <c:dLbls>
          <c:showLegendKey val="0"/>
          <c:showVal val="0"/>
          <c:showCatName val="0"/>
          <c:showSerName val="0"/>
          <c:showPercent val="0"/>
          <c:showBubbleSize val="0"/>
        </c:dLbls>
        <c:gapWidth val="150"/>
        <c:shape val="box"/>
        <c:axId val="314317056"/>
        <c:axId val="314352000"/>
        <c:axId val="314329728"/>
      </c:bar3DChart>
      <c:catAx>
        <c:axId val="314317056"/>
        <c:scaling>
          <c:orientation val="minMax"/>
        </c:scaling>
        <c:delete val="0"/>
        <c:axPos val="b"/>
        <c:title>
          <c:tx>
            <c:rich>
              <a:bodyPr rot="0" vert="horz"/>
              <a:lstStyle/>
              <a:p>
                <a:pPr>
                  <a:defRPr/>
                </a:pPr>
                <a:r>
                  <a:rPr lang="en-US"/>
                  <a:t>Stocking density</a:t>
                </a:r>
              </a:p>
            </c:rich>
          </c:tx>
          <c:overlay val="0"/>
        </c:title>
        <c:numFmt formatCode="General" sourceLinked="1"/>
        <c:majorTickMark val="none"/>
        <c:minorTickMark val="none"/>
        <c:tickLblPos val="nextTo"/>
        <c:txPr>
          <a:bodyPr rot="-60000000" vert="horz"/>
          <a:lstStyle/>
          <a:p>
            <a:pPr>
              <a:defRPr/>
            </a:pPr>
            <a:endParaRPr lang="en-US"/>
          </a:p>
        </c:txPr>
        <c:crossAx val="314352000"/>
        <c:crosses val="autoZero"/>
        <c:auto val="1"/>
        <c:lblAlgn val="ctr"/>
        <c:lblOffset val="100"/>
        <c:noMultiLvlLbl val="0"/>
      </c:catAx>
      <c:valAx>
        <c:axId val="314352000"/>
        <c:scaling>
          <c:orientation val="minMax"/>
        </c:scaling>
        <c:delete val="0"/>
        <c:axPos val="l"/>
        <c:majorGridlines/>
        <c:title>
          <c:tx>
            <c:rich>
              <a:bodyPr rot="-5400000" vert="horz"/>
              <a:lstStyle/>
              <a:p>
                <a:pPr>
                  <a:defRPr/>
                </a:pPr>
                <a:r>
                  <a:rPr lang="en-US"/>
                  <a:t>Yield kg/m</a:t>
                </a:r>
                <a:r>
                  <a:rPr lang="en-US" baseline="30000"/>
                  <a:t>2</a:t>
                </a:r>
              </a:p>
            </c:rich>
          </c:tx>
          <c:overlay val="0"/>
        </c:title>
        <c:numFmt formatCode="General" sourceLinked="1"/>
        <c:majorTickMark val="none"/>
        <c:minorTickMark val="none"/>
        <c:tickLblPos val="nextTo"/>
        <c:txPr>
          <a:bodyPr rot="-60000000" vert="horz"/>
          <a:lstStyle/>
          <a:p>
            <a:pPr>
              <a:defRPr/>
            </a:pPr>
            <a:endParaRPr lang="en-US"/>
          </a:p>
        </c:txPr>
        <c:crossAx val="314317056"/>
        <c:crosses val="autoZero"/>
        <c:crossBetween val="between"/>
      </c:valAx>
      <c:serAx>
        <c:axId val="314329728"/>
        <c:scaling>
          <c:orientation val="minMax"/>
        </c:scaling>
        <c:delete val="1"/>
        <c:axPos val="b"/>
        <c:majorTickMark val="none"/>
        <c:minorTickMark val="none"/>
        <c:tickLblPos val="nextTo"/>
        <c:crossAx val="314352000"/>
        <c:crosses val="autoZero"/>
      </c:ser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E147F-E547-4399-9FD1-4FBA1550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13</Pages>
  <Words>5395</Words>
  <Characters>28814</Characters>
  <Application>Microsoft Office Word</Application>
  <DocSecurity>0</DocSecurity>
  <PresentationFormat/>
  <Lines>1067</Lines>
  <Paragraphs>308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IIETA</Company>
  <LinksUpToDate>false</LinksUpToDate>
  <CharactersWithSpaces>33901</CharactersWithSpaces>
  <SharedDoc>false</SharedDoc>
  <HLinks>
    <vt:vector size="12" baseType="variant">
      <vt:variant>
        <vt:i4>4128801</vt:i4>
      </vt:variant>
      <vt:variant>
        <vt:i4>18</vt:i4>
      </vt:variant>
      <vt:variant>
        <vt:i4>0</vt:i4>
      </vt:variant>
      <vt:variant>
        <vt:i4>5</vt:i4>
      </vt:variant>
      <vt:variant>
        <vt:lpwstr>http://www.crossref.org/guestquery/%23.</vt:lpwstr>
      </vt:variant>
      <vt:variant>
        <vt:lpwstr/>
      </vt:variant>
      <vt:variant>
        <vt:i4>7078003</vt:i4>
      </vt:variant>
      <vt:variant>
        <vt:i4>15</vt:i4>
      </vt:variant>
      <vt:variant>
        <vt:i4>0</vt:i4>
      </vt:variant>
      <vt:variant>
        <vt:i4>5</vt:i4>
      </vt:variant>
      <vt:variant>
        <vt:lpwstr>http://www.iieta.org/Journals/IJHT/ARCHIVE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Hailu Addis</cp:lastModifiedBy>
  <cp:revision>308</cp:revision>
  <cp:lastPrinted>2019-03-29T07:00:00Z</cp:lastPrinted>
  <dcterms:created xsi:type="dcterms:W3CDTF">2024-11-05T11:43:00Z</dcterms:created>
  <dcterms:modified xsi:type="dcterms:W3CDTF">2025-02-17T11:29:00Z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GrammarlyDocumentId">
    <vt:lpwstr>0b31df263a22af9f8d5c50f47f9dab126602083898a4b4a23e499ee0b3e921fa</vt:lpwstr>
  </property>
</Properties>
</file>